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9776"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shd w:val="clear" w:color="auto" w:fill="2F5496" w:themeFill="accent1" w:themeFillShade="BF"/>
            <w:vAlign w:val="center"/>
          </w:tcPr>
          <w:p>
            <w:pPr>
              <w:spacing w:before="156" w:beforeLines="50" w:after="156" w:afterLines="50"/>
              <w:jc w:val="center"/>
              <w:rPr>
                <w:rFonts w:ascii="微软雅黑" w:hAnsi="微软雅黑" w:eastAsia="微软雅黑"/>
                <w:b/>
                <w:bCs/>
                <w:sz w:val="28"/>
                <w:szCs w:val="28"/>
              </w:rPr>
            </w:pPr>
            <w:r>
              <w:rPr>
                <w:rFonts w:hint="eastAsia" w:ascii="微软雅黑" w:hAnsi="微软雅黑" w:eastAsia="微软雅黑"/>
                <w:b/>
                <w:bCs/>
                <w:color w:val="FFFFFF" w:themeColor="background1"/>
                <w:sz w:val="28"/>
                <w:szCs w:val="28"/>
                <w14:textFill>
                  <w14:solidFill>
                    <w14:schemeClr w14:val="bg1"/>
                  </w14:solidFill>
                </w14:textFill>
              </w:rPr>
              <w:t>美债收益率下半周上行突破1</w:t>
            </w:r>
            <w:r>
              <w:rPr>
                <w:rFonts w:ascii="微软雅黑" w:hAnsi="微软雅黑" w:eastAsia="微软雅黑"/>
                <w:b/>
                <w:bCs/>
                <w:color w:val="FFFFFF" w:themeColor="background1"/>
                <w:sz w:val="28"/>
                <w:szCs w:val="28"/>
                <w14:textFill>
                  <w14:solidFill>
                    <w14:schemeClr w14:val="bg1"/>
                  </w14:solidFill>
                </w14:textFill>
              </w:rPr>
              <w:t>.4</w:t>
            </w:r>
            <w:r>
              <w:rPr>
                <w:rFonts w:hint="eastAsia" w:ascii="微软雅黑" w:hAnsi="微软雅黑" w:eastAsia="微软雅黑"/>
                <w:b/>
                <w:bCs/>
                <w:color w:val="FFFFFF" w:themeColor="background1"/>
                <w:sz w:val="28"/>
                <w:szCs w:val="28"/>
                <w14:textFill>
                  <w14:solidFill>
                    <w14:schemeClr w14:val="bg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9776"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pPr>
              <w:spacing w:before="156" w:beforeLines="50" w:after="156" w:afterLines="50"/>
              <w:jc w:val="right"/>
              <w:rPr>
                <w:rFonts w:ascii="黑体" w:hAnsi="黑体" w:eastAsia="黑体"/>
                <w:b/>
                <w:bCs/>
                <w:color w:val="2F5597" w:themeColor="accent1" w:themeShade="BF"/>
                <w:sz w:val="24"/>
                <w:szCs w:val="28"/>
              </w:rPr>
            </w:pPr>
            <w:r>
              <w:rPr>
                <w:rFonts w:hint="eastAsia" w:ascii="黑体" w:hAnsi="黑体" w:eastAsia="黑体"/>
                <w:b/>
                <w:bCs/>
                <w:color w:val="2F5597" w:themeColor="accent1" w:themeShade="BF"/>
                <w:sz w:val="24"/>
                <w:szCs w:val="28"/>
              </w:rPr>
              <w:t>———— 一周美债收益率回顾（</w:t>
            </w:r>
            <w:r>
              <w:rPr>
                <w:rFonts w:ascii="黑体" w:hAnsi="黑体" w:eastAsia="黑体"/>
                <w:b/>
                <w:bCs/>
                <w:color w:val="2F5597" w:themeColor="accent1" w:themeShade="BF"/>
                <w:sz w:val="24"/>
                <w:szCs w:val="28"/>
              </w:rPr>
              <w:t>2021.09.20-2021.09.26）</w:t>
            </w:r>
          </w:p>
          <w:p>
            <w:pPr>
              <w:wordWrap w:val="0"/>
              <w:spacing w:before="156" w:beforeLines="50" w:after="156" w:afterLines="50"/>
              <w:jc w:val="right"/>
              <w:rPr>
                <w:rFonts w:ascii="黑体" w:hAnsi="黑体" w:eastAsia="黑体"/>
                <w:b/>
                <w:bCs/>
              </w:rPr>
            </w:pPr>
            <w:r>
              <w:rPr>
                <w:rFonts w:hint="eastAsia" w:ascii="黑体" w:hAnsi="黑体" w:eastAsia="黑体"/>
                <w:b/>
                <w:bCs/>
                <w:color w:val="2F5597" w:themeColor="accent1" w:themeShade="BF"/>
              </w:rPr>
              <w:t>分析师  白雪</w:t>
            </w:r>
          </w:p>
        </w:tc>
      </w:tr>
    </w:tbl>
    <w:p>
      <w:pPr>
        <w:pStyle w:val="12"/>
        <w:numPr>
          <w:ilvl w:val="0"/>
          <w:numId w:val="1"/>
        </w:numPr>
        <w:spacing w:before="312" w:beforeLines="100" w:line="360" w:lineRule="auto"/>
        <w:ind w:firstLineChars="0"/>
        <w:rPr>
          <w:rFonts w:ascii="楷体" w:hAnsi="楷体" w:eastAsia="楷体"/>
          <w:b/>
          <w:bCs/>
          <w:color w:val="2F5597" w:themeColor="accent1" w:themeShade="BF"/>
        </w:rPr>
      </w:pPr>
      <w:r>
        <w:rPr>
          <w:rFonts w:hint="eastAsia" w:ascii="楷体" w:hAnsi="楷体" w:eastAsia="楷体"/>
          <w:b/>
          <w:bCs/>
          <w:color w:val="2F5597" w:themeColor="accent1" w:themeShade="BF"/>
        </w:rPr>
        <w:t>2</w:t>
      </w:r>
      <w:r>
        <w:rPr>
          <w:rFonts w:ascii="楷体" w:hAnsi="楷体" w:eastAsia="楷体"/>
          <w:b/>
          <w:bCs/>
          <w:color w:val="2F5597" w:themeColor="accent1" w:themeShade="BF"/>
        </w:rPr>
        <w:t>021</w:t>
      </w:r>
      <w:r>
        <w:rPr>
          <w:rFonts w:hint="eastAsia" w:ascii="楷体" w:hAnsi="楷体" w:eastAsia="楷体"/>
          <w:b/>
          <w:bCs/>
          <w:color w:val="2F5597" w:themeColor="accent1" w:themeShade="BF"/>
        </w:rPr>
        <w:t>年</w:t>
      </w:r>
      <w:r>
        <w:rPr>
          <w:rFonts w:ascii="楷体" w:hAnsi="楷体" w:eastAsia="楷体"/>
          <w:b/>
          <w:bCs/>
          <w:color w:val="2F5597" w:themeColor="accent1" w:themeShade="BF"/>
        </w:rPr>
        <w:t>9</w:t>
      </w:r>
      <w:r>
        <w:rPr>
          <w:rFonts w:hint="eastAsia" w:ascii="楷体" w:hAnsi="楷体" w:eastAsia="楷体"/>
          <w:b/>
          <w:bCs/>
          <w:color w:val="2F5597" w:themeColor="accent1" w:themeShade="BF"/>
        </w:rPr>
        <w:t>月</w:t>
      </w:r>
      <w:r>
        <w:rPr>
          <w:rFonts w:ascii="楷体" w:hAnsi="楷体" w:eastAsia="楷体"/>
          <w:b/>
          <w:bCs/>
          <w:color w:val="2F5597" w:themeColor="accent1" w:themeShade="BF"/>
        </w:rPr>
        <w:t>20</w:t>
      </w:r>
      <w:r>
        <w:rPr>
          <w:rFonts w:hint="eastAsia" w:ascii="楷体" w:hAnsi="楷体" w:eastAsia="楷体"/>
          <w:b/>
          <w:bCs/>
          <w:color w:val="2F5597" w:themeColor="accent1" w:themeShade="BF"/>
        </w:rPr>
        <w:t>日当周，1</w:t>
      </w:r>
      <w:r>
        <w:rPr>
          <w:rFonts w:ascii="楷体" w:hAnsi="楷体" w:eastAsia="楷体"/>
          <w:b/>
          <w:bCs/>
          <w:color w:val="2F5597" w:themeColor="accent1" w:themeShade="BF"/>
        </w:rPr>
        <w:t>0</w:t>
      </w:r>
      <w:r>
        <w:rPr>
          <w:rFonts w:hint="eastAsia" w:ascii="楷体" w:hAnsi="楷体" w:eastAsia="楷体"/>
          <w:b/>
          <w:bCs/>
          <w:color w:val="2F5597" w:themeColor="accent1" w:themeShade="BF"/>
        </w:rPr>
        <w:t>年期美债收益率在下半周飙升并突破1</w:t>
      </w:r>
      <w:r>
        <w:rPr>
          <w:rFonts w:ascii="楷体" w:hAnsi="楷体" w:eastAsia="楷体"/>
          <w:b/>
          <w:bCs/>
          <w:color w:val="2F5597" w:themeColor="accent1" w:themeShade="BF"/>
        </w:rPr>
        <w:t>.4</w:t>
      </w:r>
      <w:r>
        <w:rPr>
          <w:rFonts w:hint="eastAsia" w:ascii="楷体" w:hAnsi="楷体" w:eastAsia="楷体"/>
          <w:b/>
          <w:bCs/>
          <w:color w:val="2F5597" w:themeColor="accent1" w:themeShade="BF"/>
        </w:rPr>
        <w:t>%。</w:t>
      </w:r>
    </w:p>
    <w:p>
      <w:pPr>
        <w:spacing w:before="156" w:beforeLines="50" w:after="156" w:afterLines="50" w:line="360" w:lineRule="auto"/>
        <w:rPr>
          <w:rFonts w:ascii="楷体" w:hAnsi="楷体" w:eastAsia="楷体"/>
        </w:rPr>
      </w:pPr>
      <w:r>
        <w:rPr>
          <w:rFonts w:hint="eastAsia"/>
          <w:lang w:val="zh-CN"/>
        </w:rPr>
        <w:drawing>
          <wp:inline distT="0" distB="0" distL="0" distR="0">
            <wp:extent cx="6203950" cy="3501390"/>
            <wp:effectExtent l="0" t="19050" r="63500" b="41910"/>
            <wp:docPr id="5"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pPr>
        <w:spacing w:before="156" w:beforeLines="50" w:line="360" w:lineRule="auto"/>
        <w:rPr>
          <w:rFonts w:ascii="楷体" w:hAnsi="楷体" w:eastAsia="楷体"/>
        </w:rPr>
      </w:pPr>
      <w:r>
        <w:drawing>
          <wp:inline distT="0" distB="0" distL="0" distR="0">
            <wp:extent cx="6263640" cy="2679700"/>
            <wp:effectExtent l="0" t="0" r="3810" b="63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rPr>
          <w:rFonts w:ascii="华文细黑" w:hAnsi="华文细黑" w:eastAsia="华文细黑"/>
          <w:sz w:val="18"/>
          <w:szCs w:val="20"/>
        </w:rPr>
      </w:pPr>
      <w:r>
        <w:rPr>
          <w:rFonts w:hint="eastAsia" w:ascii="华文细黑" w:hAnsi="华文细黑" w:eastAsia="华文细黑"/>
          <w:sz w:val="18"/>
          <w:szCs w:val="20"/>
        </w:rPr>
        <w:t>数据来源：CEIC，东方金诚</w:t>
      </w:r>
    </w:p>
    <w:p>
      <w:pPr>
        <w:spacing w:before="468" w:beforeLines="150"/>
        <w:rPr>
          <w:rFonts w:ascii="楷体" w:hAnsi="楷体" w:eastAsia="楷体"/>
          <w:b/>
          <w:bCs/>
          <w:color w:val="2F5597" w:themeColor="accent1" w:themeShade="BF"/>
          <w:sz w:val="22"/>
          <w:szCs w:val="24"/>
        </w:rPr>
      </w:pPr>
      <w:bookmarkStart w:id="0" w:name="_GoBack"/>
      <w:r>
        <w:drawing>
          <wp:inline distT="0" distB="0" distL="0" distR="0">
            <wp:extent cx="6179820" cy="2872740"/>
            <wp:effectExtent l="0" t="0" r="11430" b="381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0"/>
    </w:p>
    <w:p>
      <w:pPr>
        <w:rPr>
          <w:rFonts w:ascii="华文细黑" w:hAnsi="华文细黑" w:eastAsia="华文细黑"/>
          <w:sz w:val="18"/>
          <w:szCs w:val="20"/>
        </w:rPr>
      </w:pPr>
      <w:r>
        <w:rPr>
          <w:rFonts w:hint="eastAsia" w:ascii="华文细黑" w:hAnsi="华文细黑" w:eastAsia="华文细黑"/>
          <w:sz w:val="18"/>
          <w:szCs w:val="20"/>
        </w:rPr>
        <w:t>数据来源：CEIC，东方金诚</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8802926"/>
      <w:docPartObj>
        <w:docPartGallery w:val="AutoText"/>
      </w:docPartObj>
    </w:sdtPr>
    <w:sdtContent>
      <w:p>
        <w:pPr>
          <w:pStyle w:val="3"/>
        </w:pPr>
        <w:r>
          <mc:AlternateContent>
            <mc:Choice Requires="wps">
              <w:drawing>
                <wp:anchor distT="0" distB="0" distL="114300" distR="114300" simplePos="0" relativeHeight="251659264" behindDoc="0" locked="0" layoutInCell="1" allowOverlap="1">
                  <wp:simplePos x="0" y="0"/>
                  <wp:positionH relativeFrom="page">
                    <wp:posOffset>5814060</wp:posOffset>
                  </wp:positionH>
                  <wp:positionV relativeFrom="page">
                    <wp:posOffset>9204325</wp:posOffset>
                  </wp:positionV>
                  <wp:extent cx="1744980" cy="1485265"/>
                  <wp:effectExtent l="0" t="0" r="7620" b="635"/>
                  <wp:wrapNone/>
                  <wp:docPr id="2" name="等腰三角形 2"/>
                  <wp:cNvGraphicFramePr/>
                  <a:graphic xmlns:a="http://schemas.openxmlformats.org/drawingml/2006/main">
                    <a:graphicData uri="http://schemas.microsoft.com/office/word/2010/wordprocessingShape">
                      <wps:wsp>
                        <wps:cNvSpPr>
                          <a:spLocks noChangeArrowheads="1"/>
                        </wps:cNvSpPr>
                        <wps:spPr bwMode="auto">
                          <a:xfrm>
                            <a:off x="0" y="0"/>
                            <a:ext cx="1745004" cy="1485325"/>
                          </a:xfrm>
                          <a:prstGeom prst="triangle">
                            <a:avLst>
                              <a:gd name="adj" fmla="val 100000"/>
                            </a:avLst>
                          </a:prstGeom>
                          <a:solidFill>
                            <a:srgbClr val="D2EAF1"/>
                          </a:solidFill>
                          <a:ln>
                            <a:noFill/>
                          </a:ln>
                        </wps:spPr>
                        <wps:txbx>
                          <w:txbxContent>
                            <w:p>
                              <w:pPr>
                                <w:jc w:val="center"/>
                                <w:rPr>
                                  <w:rFonts w:ascii="黑体" w:hAnsi="黑体" w:eastAsia="黑体"/>
                                  <w:b/>
                                  <w:bCs/>
                                  <w:sz w:val="24"/>
                                  <w:szCs w:val="24"/>
                                </w:rPr>
                              </w:pPr>
                              <w:r>
                                <w:rPr>
                                  <w:rFonts w:ascii="黑体" w:hAnsi="黑体" w:eastAsia="黑体" w:cs="Times New Roman"/>
                                  <w:b/>
                                  <w:bCs/>
                                  <w:sz w:val="24"/>
                                  <w:szCs w:val="24"/>
                                </w:rPr>
                                <w:fldChar w:fldCharType="begin"/>
                              </w:r>
                              <w:r>
                                <w:rPr>
                                  <w:rFonts w:ascii="黑体" w:hAnsi="黑体" w:eastAsia="黑体"/>
                                  <w:b/>
                                  <w:bCs/>
                                  <w:sz w:val="24"/>
                                  <w:szCs w:val="24"/>
                                </w:rPr>
                                <w:instrText xml:space="preserve">PAGE    \* MERGEFORMAT</w:instrText>
                              </w:r>
                              <w:r>
                                <w:rPr>
                                  <w:rFonts w:ascii="黑体" w:hAnsi="黑体" w:eastAsia="黑体" w:cs="Times New Roman"/>
                                  <w:b/>
                                  <w:bCs/>
                                  <w:sz w:val="24"/>
                                  <w:szCs w:val="24"/>
                                </w:rPr>
                                <w:fldChar w:fldCharType="separate"/>
                              </w:r>
                              <w:r>
                                <w:rPr>
                                  <w:rFonts w:ascii="黑体" w:hAnsi="黑体" w:eastAsia="黑体" w:cstheme="majorBidi"/>
                                  <w:b/>
                                  <w:bCs/>
                                  <w:color w:val="FFFFFF" w:themeColor="background1"/>
                                  <w:sz w:val="24"/>
                                  <w:szCs w:val="24"/>
                                  <w:lang w:val="zh-CN"/>
                                  <w14:textFill>
                                    <w14:solidFill>
                                      <w14:schemeClr w14:val="bg1"/>
                                    </w14:solidFill>
                                  </w14:textFill>
                                </w:rPr>
                                <w:t>2</w:t>
                              </w:r>
                              <w:r>
                                <w:rPr>
                                  <w:rFonts w:ascii="黑体" w:hAnsi="黑体" w:eastAsia="黑体" w:cstheme="majorBidi"/>
                                  <w:b/>
                                  <w:bCs/>
                                  <w:color w:val="FFFFFF" w:themeColor="background1"/>
                                  <w:sz w:val="24"/>
                                  <w:szCs w:val="24"/>
                                  <w14:textFill>
                                    <w14:solidFill>
                                      <w14:schemeClr w14:val="bg1"/>
                                    </w14:solidFill>
                                  </w14:textFill>
                                </w:rPr>
                                <w:fldChar w:fldCharType="end"/>
                              </w:r>
                            </w:p>
                          </w:txbxContent>
                        </wps:txbx>
                        <wps:bodyPr rot="0" vert="horz" wrap="square" lIns="91440" tIns="45720" rIns="91440" bIns="45720" anchor="t" anchorCtr="0" upright="1">
                          <a:noAutofit/>
                        </wps:bodyPr>
                      </wps:wsp>
                    </a:graphicData>
                  </a:graphic>
                </wp:anchor>
              </w:drawing>
            </mc:Choice>
            <mc:Fallback>
              <w:pict>
                <v:shape id="_x0000_s1026" o:spid="_x0000_s1026" o:spt="5" type="#_x0000_t5" style="position:absolute;left:0pt;margin-left:457.8pt;margin-top:724.75pt;height:116.95pt;width:137.4pt;mso-position-horizontal-relative:page;mso-position-vertical-relative:page;z-index:251659264;mso-width-relative:page;mso-height-relative:page;" fillcolor="#D2EAF1" filled="t" stroked="f" coordsize="21600,21600" o:gfxdata="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f2kV9sAAAAOAQAADwAAAAAAAAABACAAAAAiAAAAZHJzL2Rvd25y&#10;ZXYueG1sUEsBAhQAFAAAAAgAh07iQLap7dA0AgAAHgQAAA4AAAAAAAAAAQAgAAAAKgEAAGRycy9l&#10;Mm9Eb2MueG1sUEsFBgAAAAAGAAYAWQEAANAFAAAAAA==&#10;" adj="21600">
                  <v:fill on="t" focussize="0,0"/>
                  <v:stroke on="f"/>
                  <v:imagedata o:title=""/>
                  <o:lock v:ext="edit" aspectratio="f"/>
                  <v:textbox>
                    <w:txbxContent>
                      <w:p>
                        <w:pPr>
                          <w:jc w:val="center"/>
                          <w:rPr>
                            <w:rFonts w:ascii="黑体" w:hAnsi="黑体" w:eastAsia="黑体"/>
                            <w:b/>
                            <w:bCs/>
                            <w:sz w:val="24"/>
                            <w:szCs w:val="24"/>
                          </w:rPr>
                        </w:pPr>
                        <w:r>
                          <w:rPr>
                            <w:rFonts w:ascii="黑体" w:hAnsi="黑体" w:eastAsia="黑体" w:cs="Times New Roman"/>
                            <w:b/>
                            <w:bCs/>
                            <w:sz w:val="24"/>
                            <w:szCs w:val="24"/>
                          </w:rPr>
                          <w:fldChar w:fldCharType="begin"/>
                        </w:r>
                        <w:r>
                          <w:rPr>
                            <w:rFonts w:ascii="黑体" w:hAnsi="黑体" w:eastAsia="黑体"/>
                            <w:b/>
                            <w:bCs/>
                            <w:sz w:val="24"/>
                            <w:szCs w:val="24"/>
                          </w:rPr>
                          <w:instrText xml:space="preserve">PAGE    \* MERGEFORMAT</w:instrText>
                        </w:r>
                        <w:r>
                          <w:rPr>
                            <w:rFonts w:ascii="黑体" w:hAnsi="黑体" w:eastAsia="黑体" w:cs="Times New Roman"/>
                            <w:b/>
                            <w:bCs/>
                            <w:sz w:val="24"/>
                            <w:szCs w:val="24"/>
                          </w:rPr>
                          <w:fldChar w:fldCharType="separate"/>
                        </w:r>
                        <w:r>
                          <w:rPr>
                            <w:rFonts w:ascii="黑体" w:hAnsi="黑体" w:eastAsia="黑体" w:cstheme="majorBidi"/>
                            <w:b/>
                            <w:bCs/>
                            <w:color w:val="FFFFFF" w:themeColor="background1"/>
                            <w:sz w:val="24"/>
                            <w:szCs w:val="24"/>
                            <w:lang w:val="zh-CN"/>
                            <w14:textFill>
                              <w14:solidFill>
                                <w14:schemeClr w14:val="bg1"/>
                              </w14:solidFill>
                            </w14:textFill>
                          </w:rPr>
                          <w:t>2</w:t>
                        </w:r>
                        <w:r>
                          <w:rPr>
                            <w:rFonts w:ascii="黑体" w:hAnsi="黑体" w:eastAsia="黑体" w:cstheme="majorBidi"/>
                            <w:b/>
                            <w:bCs/>
                            <w:color w:val="FFFFFF" w:themeColor="background1"/>
                            <w:sz w:val="24"/>
                            <w:szCs w:val="24"/>
                            <w14:textFill>
                              <w14:solidFill>
                                <w14:schemeClr w14:val="bg1"/>
                              </w14:solidFill>
                            </w14:textFill>
                          </w:rPr>
                          <w:fldChar w:fldCharType="end"/>
                        </w:r>
                      </w:p>
                    </w:txbxContent>
                  </v:textbox>
                </v:shape>
              </w:pict>
            </mc:Fallback>
          </mc:AlternateConten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ascii="黑体" w:hAnsi="黑体" w:eastAsia="黑体"/>
        <w:b/>
        <w:bCs/>
        <w:color w:val="4472C4" w:themeColor="accent1"/>
        <w:sz w:val="21"/>
        <w:szCs w:val="21"/>
        <w14:textFill>
          <w14:solidFill>
            <w14:schemeClr w14:val="accent1"/>
          </w14:solidFill>
        </w14:textFill>
      </w:rPr>
    </w:pPr>
    <w:r>
      <w:rPr>
        <w:rFonts w:ascii="宋体" w:hAnsi="宋体"/>
      </w:rPr>
      <w:drawing>
        <wp:inline distT="0" distB="0" distL="0" distR="0">
          <wp:extent cx="1837055" cy="2032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37055" cy="203200"/>
                  </a:xfrm>
                  <a:prstGeom prst="rect">
                    <a:avLst/>
                  </a:prstGeom>
                  <a:noFill/>
                  <a:ln>
                    <a:noFill/>
                  </a:ln>
                  <a:effectLst/>
                </pic:spPr>
              </pic:pic>
            </a:graphicData>
          </a:graphic>
        </wp:inline>
      </w:drawing>
    </w:r>
    <w:r>
      <w:rPr>
        <w:rFonts w:hint="eastAsia"/>
      </w:rPr>
      <w:t xml:space="preserve"> </w:t>
    </w:r>
    <w:r>
      <w:t xml:space="preserve">                                                                                            </w:t>
    </w:r>
    <w:r>
      <w:rPr>
        <w:rFonts w:ascii="黑体" w:hAnsi="黑体" w:eastAsia="黑体"/>
        <w:b/>
        <w:bCs/>
        <w:color w:val="4472C4" w:themeColor="accent1"/>
        <w:sz w:val="21"/>
        <w:szCs w:val="21"/>
        <w14:textFill>
          <w14:solidFill>
            <w14:schemeClr w14:val="accent1"/>
          </w14:solidFill>
        </w14:textFill>
      </w:rPr>
      <w:t xml:space="preserve">     </w:t>
    </w:r>
    <w:r>
      <w:rPr>
        <w:rFonts w:hint="eastAsia" w:ascii="黑体" w:hAnsi="黑体" w:eastAsia="黑体"/>
        <w:b/>
        <w:bCs/>
        <w:color w:val="4472C4" w:themeColor="accent1"/>
        <w:sz w:val="21"/>
        <w:szCs w:val="21"/>
        <w14:textFill>
          <w14:solidFill>
            <w14:schemeClr w14:val="accent1"/>
          </w14:solidFill>
        </w14:textFill>
      </w:rPr>
      <w:t>东方金诚固收研究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abstractNum w:abstractNumId="0">
    <w:nsid w:val="39AB279D"/>
    <w:multiLevelType w:val="multilevel"/>
    <w:tmpl w:val="39AB279D"/>
    <w:lvl w:ilvl="0" w:tentative="0">
      <w:start w:val="1"/>
      <w:numFmt w:val="bullet"/>
      <w:lvlText w:val=""/>
      <w:lvlPicBulletId w:val="0"/>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C8"/>
    <w:rsid w:val="00003A33"/>
    <w:rsid w:val="00020741"/>
    <w:rsid w:val="000244C1"/>
    <w:rsid w:val="00027B4D"/>
    <w:rsid w:val="00030316"/>
    <w:rsid w:val="00030828"/>
    <w:rsid w:val="00031BD8"/>
    <w:rsid w:val="00033211"/>
    <w:rsid w:val="00042128"/>
    <w:rsid w:val="00045CB1"/>
    <w:rsid w:val="00053883"/>
    <w:rsid w:val="000538D8"/>
    <w:rsid w:val="00060349"/>
    <w:rsid w:val="0006440F"/>
    <w:rsid w:val="00075F8E"/>
    <w:rsid w:val="00080596"/>
    <w:rsid w:val="00080680"/>
    <w:rsid w:val="00085A99"/>
    <w:rsid w:val="00087707"/>
    <w:rsid w:val="00093FDB"/>
    <w:rsid w:val="00096912"/>
    <w:rsid w:val="000B0EC4"/>
    <w:rsid w:val="000D0FD4"/>
    <w:rsid w:val="000D3702"/>
    <w:rsid w:val="000F1C3C"/>
    <w:rsid w:val="000F428E"/>
    <w:rsid w:val="000F4477"/>
    <w:rsid w:val="000F679A"/>
    <w:rsid w:val="00105F74"/>
    <w:rsid w:val="001155BB"/>
    <w:rsid w:val="00121B1A"/>
    <w:rsid w:val="00123276"/>
    <w:rsid w:val="001310BA"/>
    <w:rsid w:val="001340AA"/>
    <w:rsid w:val="00140FD4"/>
    <w:rsid w:val="00150EEB"/>
    <w:rsid w:val="001626EB"/>
    <w:rsid w:val="00164796"/>
    <w:rsid w:val="00172C6E"/>
    <w:rsid w:val="00180603"/>
    <w:rsid w:val="001808E1"/>
    <w:rsid w:val="00183A17"/>
    <w:rsid w:val="0019080F"/>
    <w:rsid w:val="00194256"/>
    <w:rsid w:val="001A313B"/>
    <w:rsid w:val="001A38C1"/>
    <w:rsid w:val="001B11A0"/>
    <w:rsid w:val="001B61B2"/>
    <w:rsid w:val="001C07E8"/>
    <w:rsid w:val="001C6979"/>
    <w:rsid w:val="001D4CA3"/>
    <w:rsid w:val="001D5BF1"/>
    <w:rsid w:val="001D68A9"/>
    <w:rsid w:val="001D7966"/>
    <w:rsid w:val="001E30D8"/>
    <w:rsid w:val="001E7B99"/>
    <w:rsid w:val="001F6F1F"/>
    <w:rsid w:val="00201D85"/>
    <w:rsid w:val="002060A9"/>
    <w:rsid w:val="00206397"/>
    <w:rsid w:val="00225132"/>
    <w:rsid w:val="002428D3"/>
    <w:rsid w:val="0024604E"/>
    <w:rsid w:val="00254DA8"/>
    <w:rsid w:val="00266FBC"/>
    <w:rsid w:val="002716C7"/>
    <w:rsid w:val="00276C9C"/>
    <w:rsid w:val="00282198"/>
    <w:rsid w:val="00295EF1"/>
    <w:rsid w:val="002B032A"/>
    <w:rsid w:val="002C474E"/>
    <w:rsid w:val="002C7515"/>
    <w:rsid w:val="002D496F"/>
    <w:rsid w:val="002D5024"/>
    <w:rsid w:val="002D6B40"/>
    <w:rsid w:val="002E493F"/>
    <w:rsid w:val="002F6E4F"/>
    <w:rsid w:val="002F71B7"/>
    <w:rsid w:val="00300B3F"/>
    <w:rsid w:val="003014D7"/>
    <w:rsid w:val="0030305F"/>
    <w:rsid w:val="00312F5B"/>
    <w:rsid w:val="00315C06"/>
    <w:rsid w:val="00325469"/>
    <w:rsid w:val="00333C27"/>
    <w:rsid w:val="00336F85"/>
    <w:rsid w:val="003450FB"/>
    <w:rsid w:val="00353E88"/>
    <w:rsid w:val="0036430F"/>
    <w:rsid w:val="00372EE4"/>
    <w:rsid w:val="00375CDA"/>
    <w:rsid w:val="00382F64"/>
    <w:rsid w:val="003903E6"/>
    <w:rsid w:val="00393BE8"/>
    <w:rsid w:val="00394E77"/>
    <w:rsid w:val="00396114"/>
    <w:rsid w:val="003A0C16"/>
    <w:rsid w:val="003A32ED"/>
    <w:rsid w:val="003A4AF9"/>
    <w:rsid w:val="003B1BC6"/>
    <w:rsid w:val="003B204A"/>
    <w:rsid w:val="003C6D91"/>
    <w:rsid w:val="003D55D6"/>
    <w:rsid w:val="003E6047"/>
    <w:rsid w:val="003F05A0"/>
    <w:rsid w:val="00407242"/>
    <w:rsid w:val="00411596"/>
    <w:rsid w:val="0041310D"/>
    <w:rsid w:val="0041570C"/>
    <w:rsid w:val="00423B77"/>
    <w:rsid w:val="00436B3A"/>
    <w:rsid w:val="00443124"/>
    <w:rsid w:val="00450AFC"/>
    <w:rsid w:val="004512A8"/>
    <w:rsid w:val="00455EA0"/>
    <w:rsid w:val="00462E8F"/>
    <w:rsid w:val="0046551B"/>
    <w:rsid w:val="00467E04"/>
    <w:rsid w:val="00473802"/>
    <w:rsid w:val="0047461D"/>
    <w:rsid w:val="0048031D"/>
    <w:rsid w:val="00481018"/>
    <w:rsid w:val="00483645"/>
    <w:rsid w:val="00485ECD"/>
    <w:rsid w:val="004927F9"/>
    <w:rsid w:val="0049725E"/>
    <w:rsid w:val="004A1743"/>
    <w:rsid w:val="004A1B24"/>
    <w:rsid w:val="004A467C"/>
    <w:rsid w:val="004B1AA1"/>
    <w:rsid w:val="004B5510"/>
    <w:rsid w:val="004B7053"/>
    <w:rsid w:val="004B7FD7"/>
    <w:rsid w:val="004C00C1"/>
    <w:rsid w:val="004C0706"/>
    <w:rsid w:val="004C27F8"/>
    <w:rsid w:val="004C4D2D"/>
    <w:rsid w:val="004C642D"/>
    <w:rsid w:val="004D1D94"/>
    <w:rsid w:val="004D3E85"/>
    <w:rsid w:val="004F3E6C"/>
    <w:rsid w:val="00500EDA"/>
    <w:rsid w:val="00505091"/>
    <w:rsid w:val="005133A5"/>
    <w:rsid w:val="0051471C"/>
    <w:rsid w:val="00516C23"/>
    <w:rsid w:val="005174B0"/>
    <w:rsid w:val="0051765A"/>
    <w:rsid w:val="00520213"/>
    <w:rsid w:val="0052124F"/>
    <w:rsid w:val="0053790C"/>
    <w:rsid w:val="005421F7"/>
    <w:rsid w:val="005463CB"/>
    <w:rsid w:val="00550FA5"/>
    <w:rsid w:val="0056705A"/>
    <w:rsid w:val="00571178"/>
    <w:rsid w:val="005722D8"/>
    <w:rsid w:val="005756FC"/>
    <w:rsid w:val="00575C9A"/>
    <w:rsid w:val="005810C8"/>
    <w:rsid w:val="0058467C"/>
    <w:rsid w:val="00597453"/>
    <w:rsid w:val="005A2917"/>
    <w:rsid w:val="005A4FCF"/>
    <w:rsid w:val="005A5FB5"/>
    <w:rsid w:val="005A70EC"/>
    <w:rsid w:val="005C1D97"/>
    <w:rsid w:val="005C24F6"/>
    <w:rsid w:val="005C33C2"/>
    <w:rsid w:val="005D1734"/>
    <w:rsid w:val="005D3D35"/>
    <w:rsid w:val="005D6A9E"/>
    <w:rsid w:val="005E0F46"/>
    <w:rsid w:val="005E36C7"/>
    <w:rsid w:val="005E5A07"/>
    <w:rsid w:val="00621704"/>
    <w:rsid w:val="006305BC"/>
    <w:rsid w:val="006538BD"/>
    <w:rsid w:val="006575F9"/>
    <w:rsid w:val="00665FDB"/>
    <w:rsid w:val="0067283E"/>
    <w:rsid w:val="00674519"/>
    <w:rsid w:val="006773CB"/>
    <w:rsid w:val="00682FCC"/>
    <w:rsid w:val="006852A1"/>
    <w:rsid w:val="0069381B"/>
    <w:rsid w:val="006941FF"/>
    <w:rsid w:val="00696A1D"/>
    <w:rsid w:val="00697857"/>
    <w:rsid w:val="006A49DD"/>
    <w:rsid w:val="006A4E9E"/>
    <w:rsid w:val="006C1D2D"/>
    <w:rsid w:val="006C31B6"/>
    <w:rsid w:val="006C3224"/>
    <w:rsid w:val="006C5968"/>
    <w:rsid w:val="006D5CA8"/>
    <w:rsid w:val="006D7504"/>
    <w:rsid w:val="006E6354"/>
    <w:rsid w:val="006E72A2"/>
    <w:rsid w:val="006E7AFB"/>
    <w:rsid w:val="006F4BDD"/>
    <w:rsid w:val="006F4F08"/>
    <w:rsid w:val="007040C0"/>
    <w:rsid w:val="00736D81"/>
    <w:rsid w:val="00746DB6"/>
    <w:rsid w:val="0075354F"/>
    <w:rsid w:val="0075435A"/>
    <w:rsid w:val="00766C57"/>
    <w:rsid w:val="00767D1D"/>
    <w:rsid w:val="0077030E"/>
    <w:rsid w:val="007713A3"/>
    <w:rsid w:val="007737F7"/>
    <w:rsid w:val="0078061D"/>
    <w:rsid w:val="007824C4"/>
    <w:rsid w:val="00787FA3"/>
    <w:rsid w:val="0079188E"/>
    <w:rsid w:val="007950A4"/>
    <w:rsid w:val="007A08CE"/>
    <w:rsid w:val="007A2EFD"/>
    <w:rsid w:val="007B2491"/>
    <w:rsid w:val="007B7B58"/>
    <w:rsid w:val="007C40AA"/>
    <w:rsid w:val="007D008A"/>
    <w:rsid w:val="007D6133"/>
    <w:rsid w:val="007D7B0E"/>
    <w:rsid w:val="007E72A1"/>
    <w:rsid w:val="00802B10"/>
    <w:rsid w:val="00825822"/>
    <w:rsid w:val="00826590"/>
    <w:rsid w:val="008411F9"/>
    <w:rsid w:val="00846F6D"/>
    <w:rsid w:val="0085525B"/>
    <w:rsid w:val="00856B17"/>
    <w:rsid w:val="00861A23"/>
    <w:rsid w:val="00876404"/>
    <w:rsid w:val="00886E9A"/>
    <w:rsid w:val="00892E1A"/>
    <w:rsid w:val="008939B7"/>
    <w:rsid w:val="008961BD"/>
    <w:rsid w:val="008964AB"/>
    <w:rsid w:val="008A02E7"/>
    <w:rsid w:val="008A2D80"/>
    <w:rsid w:val="008A47EE"/>
    <w:rsid w:val="008A4DB5"/>
    <w:rsid w:val="008A7F77"/>
    <w:rsid w:val="008B5623"/>
    <w:rsid w:val="008B7C3F"/>
    <w:rsid w:val="008D15E8"/>
    <w:rsid w:val="008D1E55"/>
    <w:rsid w:val="008D275C"/>
    <w:rsid w:val="008E4603"/>
    <w:rsid w:val="008E73A9"/>
    <w:rsid w:val="00903ACC"/>
    <w:rsid w:val="00904835"/>
    <w:rsid w:val="00907C04"/>
    <w:rsid w:val="00913726"/>
    <w:rsid w:val="00920249"/>
    <w:rsid w:val="00925F00"/>
    <w:rsid w:val="00944CE6"/>
    <w:rsid w:val="0095279E"/>
    <w:rsid w:val="009538DB"/>
    <w:rsid w:val="009662AF"/>
    <w:rsid w:val="00970C5A"/>
    <w:rsid w:val="00974573"/>
    <w:rsid w:val="009768B5"/>
    <w:rsid w:val="009771C5"/>
    <w:rsid w:val="00983223"/>
    <w:rsid w:val="00986E62"/>
    <w:rsid w:val="00991020"/>
    <w:rsid w:val="009A2C2A"/>
    <w:rsid w:val="009B0DE9"/>
    <w:rsid w:val="009B632B"/>
    <w:rsid w:val="009B6DF0"/>
    <w:rsid w:val="009C0FAF"/>
    <w:rsid w:val="009C51F3"/>
    <w:rsid w:val="009C71B9"/>
    <w:rsid w:val="009C7418"/>
    <w:rsid w:val="009D68F8"/>
    <w:rsid w:val="009F4784"/>
    <w:rsid w:val="00A1023B"/>
    <w:rsid w:val="00A1684C"/>
    <w:rsid w:val="00A23AA4"/>
    <w:rsid w:val="00A44E13"/>
    <w:rsid w:val="00A54D4C"/>
    <w:rsid w:val="00A55361"/>
    <w:rsid w:val="00A67D71"/>
    <w:rsid w:val="00A75A8D"/>
    <w:rsid w:val="00A75AA7"/>
    <w:rsid w:val="00A75E25"/>
    <w:rsid w:val="00A76216"/>
    <w:rsid w:val="00A77364"/>
    <w:rsid w:val="00A77E38"/>
    <w:rsid w:val="00A813DB"/>
    <w:rsid w:val="00AA249E"/>
    <w:rsid w:val="00AA4E21"/>
    <w:rsid w:val="00AB0AB9"/>
    <w:rsid w:val="00AB24D6"/>
    <w:rsid w:val="00AC20A7"/>
    <w:rsid w:val="00AC25A2"/>
    <w:rsid w:val="00AC3BCD"/>
    <w:rsid w:val="00AC60B3"/>
    <w:rsid w:val="00AC6E01"/>
    <w:rsid w:val="00AD61A2"/>
    <w:rsid w:val="00AE0789"/>
    <w:rsid w:val="00AF3AD0"/>
    <w:rsid w:val="00B00FB2"/>
    <w:rsid w:val="00B03F0D"/>
    <w:rsid w:val="00B0665B"/>
    <w:rsid w:val="00B17105"/>
    <w:rsid w:val="00B25762"/>
    <w:rsid w:val="00B31DBA"/>
    <w:rsid w:val="00B42BE9"/>
    <w:rsid w:val="00B4353E"/>
    <w:rsid w:val="00B506C9"/>
    <w:rsid w:val="00B5728A"/>
    <w:rsid w:val="00B64F4C"/>
    <w:rsid w:val="00B93623"/>
    <w:rsid w:val="00B948EF"/>
    <w:rsid w:val="00B96B20"/>
    <w:rsid w:val="00B9708E"/>
    <w:rsid w:val="00BB1EBC"/>
    <w:rsid w:val="00BB48AC"/>
    <w:rsid w:val="00BB4A3A"/>
    <w:rsid w:val="00BC2CB0"/>
    <w:rsid w:val="00BD2070"/>
    <w:rsid w:val="00BE650A"/>
    <w:rsid w:val="00BF4F82"/>
    <w:rsid w:val="00C00B28"/>
    <w:rsid w:val="00C00E97"/>
    <w:rsid w:val="00C014C7"/>
    <w:rsid w:val="00C13669"/>
    <w:rsid w:val="00C1461A"/>
    <w:rsid w:val="00C213B3"/>
    <w:rsid w:val="00C2347C"/>
    <w:rsid w:val="00C325E3"/>
    <w:rsid w:val="00C425F7"/>
    <w:rsid w:val="00C76717"/>
    <w:rsid w:val="00C812BD"/>
    <w:rsid w:val="00C8546B"/>
    <w:rsid w:val="00C901CB"/>
    <w:rsid w:val="00C91474"/>
    <w:rsid w:val="00C96A0E"/>
    <w:rsid w:val="00CA1314"/>
    <w:rsid w:val="00CA15BC"/>
    <w:rsid w:val="00CA23B6"/>
    <w:rsid w:val="00CB1A6E"/>
    <w:rsid w:val="00CB2534"/>
    <w:rsid w:val="00CC0D31"/>
    <w:rsid w:val="00CC1E38"/>
    <w:rsid w:val="00CC336B"/>
    <w:rsid w:val="00CC45EF"/>
    <w:rsid w:val="00CC5D9E"/>
    <w:rsid w:val="00CE071A"/>
    <w:rsid w:val="00CE6DD6"/>
    <w:rsid w:val="00CF3010"/>
    <w:rsid w:val="00CF40D4"/>
    <w:rsid w:val="00CF5637"/>
    <w:rsid w:val="00CF77E8"/>
    <w:rsid w:val="00D01E29"/>
    <w:rsid w:val="00D0289D"/>
    <w:rsid w:val="00D12312"/>
    <w:rsid w:val="00D13FF2"/>
    <w:rsid w:val="00D15EB3"/>
    <w:rsid w:val="00D20433"/>
    <w:rsid w:val="00D24FAE"/>
    <w:rsid w:val="00D25C86"/>
    <w:rsid w:val="00D27025"/>
    <w:rsid w:val="00D365BA"/>
    <w:rsid w:val="00D37F71"/>
    <w:rsid w:val="00D43BF9"/>
    <w:rsid w:val="00D456CF"/>
    <w:rsid w:val="00D51837"/>
    <w:rsid w:val="00D535BA"/>
    <w:rsid w:val="00D711C9"/>
    <w:rsid w:val="00D729AA"/>
    <w:rsid w:val="00D74110"/>
    <w:rsid w:val="00D76328"/>
    <w:rsid w:val="00D81E3F"/>
    <w:rsid w:val="00D874E8"/>
    <w:rsid w:val="00D94606"/>
    <w:rsid w:val="00D977A8"/>
    <w:rsid w:val="00DA0087"/>
    <w:rsid w:val="00DA0707"/>
    <w:rsid w:val="00DA42A4"/>
    <w:rsid w:val="00DB4E3C"/>
    <w:rsid w:val="00DB76CC"/>
    <w:rsid w:val="00DB7AE5"/>
    <w:rsid w:val="00DC397B"/>
    <w:rsid w:val="00DC5C44"/>
    <w:rsid w:val="00DD0FAF"/>
    <w:rsid w:val="00DD479B"/>
    <w:rsid w:val="00DD66D2"/>
    <w:rsid w:val="00DE6499"/>
    <w:rsid w:val="00E002D1"/>
    <w:rsid w:val="00E074A5"/>
    <w:rsid w:val="00E0767A"/>
    <w:rsid w:val="00E15CA4"/>
    <w:rsid w:val="00E2189D"/>
    <w:rsid w:val="00E2581C"/>
    <w:rsid w:val="00E27D0D"/>
    <w:rsid w:val="00E36828"/>
    <w:rsid w:val="00E4426A"/>
    <w:rsid w:val="00E672B9"/>
    <w:rsid w:val="00E7276D"/>
    <w:rsid w:val="00E757C0"/>
    <w:rsid w:val="00E817C7"/>
    <w:rsid w:val="00E8421E"/>
    <w:rsid w:val="00E91E87"/>
    <w:rsid w:val="00E94A20"/>
    <w:rsid w:val="00EB21D1"/>
    <w:rsid w:val="00EB35DD"/>
    <w:rsid w:val="00EC1B17"/>
    <w:rsid w:val="00ED6BB3"/>
    <w:rsid w:val="00EF0AD5"/>
    <w:rsid w:val="00EF22E3"/>
    <w:rsid w:val="00EF50EA"/>
    <w:rsid w:val="00F00CC3"/>
    <w:rsid w:val="00F03076"/>
    <w:rsid w:val="00F0485A"/>
    <w:rsid w:val="00F075A0"/>
    <w:rsid w:val="00F146AF"/>
    <w:rsid w:val="00F15A3B"/>
    <w:rsid w:val="00F24E36"/>
    <w:rsid w:val="00F27616"/>
    <w:rsid w:val="00F3073B"/>
    <w:rsid w:val="00F334CA"/>
    <w:rsid w:val="00F340A4"/>
    <w:rsid w:val="00F40EAE"/>
    <w:rsid w:val="00F4118E"/>
    <w:rsid w:val="00F70E2D"/>
    <w:rsid w:val="00F72C38"/>
    <w:rsid w:val="00F909D0"/>
    <w:rsid w:val="00F96F10"/>
    <w:rsid w:val="00FA047E"/>
    <w:rsid w:val="00FA1159"/>
    <w:rsid w:val="00FA2BF4"/>
    <w:rsid w:val="00FB1A79"/>
    <w:rsid w:val="00FE03FA"/>
    <w:rsid w:val="00FE7026"/>
    <w:rsid w:val="00FF788F"/>
    <w:rsid w:val="62AF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字符"/>
    <w:basedOn w:val="6"/>
    <w:link w:val="4"/>
    <w:uiPriority w:val="99"/>
    <w:rPr>
      <w:sz w:val="18"/>
      <w:szCs w:val="18"/>
    </w:rPr>
  </w:style>
  <w:style w:type="character" w:customStyle="1" w:styleId="11">
    <w:name w:val="页脚 字符"/>
    <w:basedOn w:val="6"/>
    <w:link w:val="3"/>
    <w:uiPriority w:val="99"/>
    <w:rPr>
      <w:sz w:val="18"/>
      <w:szCs w:val="18"/>
    </w:rPr>
  </w:style>
  <w:style w:type="paragraph" w:styleId="12">
    <w:name w:val="List Paragraph"/>
    <w:basedOn w:val="1"/>
    <w:qFormat/>
    <w:uiPriority w:val="34"/>
    <w:pPr>
      <w:ind w:firstLine="420" w:firstLineChars="200"/>
    </w:pPr>
  </w:style>
  <w:style w:type="table" w:customStyle="1" w:styleId="13">
    <w:name w:val="Grid Table 4 Accent 1"/>
    <w:basedOn w:val="8"/>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fixed"/>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paragraph" w:customStyle="1" w:styleId="14">
    <w:name w:val="w-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diagramColors" Target="diagrams/colors1.xml"/><Relationship Id="rId8" Type="http://schemas.openxmlformats.org/officeDocument/2006/relationships/diagramQuickStyle" Target="diagrams/quickStyle1.xml"/><Relationship Id="rId7" Type="http://schemas.openxmlformats.org/officeDocument/2006/relationships/diagramLayout" Target="diagrams/layout1.xml"/><Relationship Id="rId6" Type="http://schemas.openxmlformats.org/officeDocument/2006/relationships/diagramData" Target="diagrams/data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960" b="1" i="0" u="none" strike="noStrike" kern="1200" baseline="0">
                <a:solidFill>
                  <a:schemeClr val="tx2"/>
                </a:solidFill>
                <a:latin typeface="微软雅黑" panose="020B0503020204020204" pitchFamily="2" charset="-122"/>
                <a:ea typeface="微软雅黑" panose="020B0503020204020204" pitchFamily="2" charset="-122"/>
                <a:cs typeface="+mn-cs"/>
              </a:defRPr>
            </a:pPr>
            <a:r>
              <a:rPr lang="zh-CN"/>
              <a:t>一周美国十年期国债收益率</a:t>
            </a:r>
            <a:r>
              <a:rPr lang="en-US"/>
              <a:t> </a:t>
            </a:r>
            <a:r>
              <a:rPr lang="zh-CN"/>
              <a:t>（</a:t>
            </a:r>
            <a:r>
              <a:rPr lang="en-US"/>
              <a:t>%</a:t>
            </a:r>
            <a:r>
              <a:rPr lang="zh-CN"/>
              <a:t>）</a:t>
            </a:r>
            <a:endParaRPr lang="en-US"/>
          </a:p>
          <a:p>
            <a:pPr>
              <a:defRPr lang="zh-CN" sz="960" b="1" i="0" u="none" strike="noStrike" kern="1200" baseline="0">
                <a:solidFill>
                  <a:schemeClr val="tx2"/>
                </a:solidFill>
                <a:latin typeface="微软雅黑" panose="020B0503020204020204" pitchFamily="2" charset="-122"/>
                <a:ea typeface="微软雅黑" panose="020B0503020204020204" pitchFamily="2" charset="-122"/>
                <a:cs typeface="+mn-cs"/>
              </a:defRPr>
            </a:pPr>
            <a:r>
              <a:rPr lang="zh-CN"/>
              <a:t>（</a:t>
            </a:r>
            <a:r>
              <a:rPr lang="en-US"/>
              <a:t>2021.9.20-2021.9.24</a:t>
            </a:r>
            <a:r>
              <a:rPr lang="zh-CN"/>
              <a:t>）</a:t>
            </a:r>
            <a:endParaRPr lang="zh-CN"/>
          </a:p>
        </c:rich>
      </c:tx>
      <c:layout>
        <c:manualLayout>
          <c:xMode val="edge"/>
          <c:yMode val="edge"/>
          <c:x val="0.344165692792051"/>
          <c:y val="0.0046934358323693"/>
        </c:manualLayout>
      </c:layout>
      <c:overlay val="0"/>
      <c:spPr>
        <a:noFill/>
        <a:ln>
          <a:noFill/>
        </a:ln>
        <a:effectLst/>
      </c:spPr>
    </c:title>
    <c:autoTitleDeleted val="0"/>
    <c:plotArea>
      <c:layout>
        <c:manualLayout>
          <c:layoutTarget val="inner"/>
          <c:xMode val="edge"/>
          <c:yMode val="edge"/>
          <c:x val="0.0566284141489613"/>
          <c:y val="0.192541450674834"/>
          <c:w val="0.934595379044773"/>
          <c:h val="0.721425905884987"/>
        </c:manualLayout>
      </c:layout>
      <c:lineChart>
        <c:grouping val="standard"/>
        <c:varyColors val="0"/>
        <c:ser>
          <c:idx val="0"/>
          <c:order val="0"/>
          <c:spPr>
            <a:ln w="31750"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0.0416614088729397"/>
                  <c:y val="-0.037873902271912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16614088729397"/>
                  <c:y val="0.052076615623879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27711179057237"/>
                  <c:y val="0.061545091191857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16614088729397"/>
                  <c:y val="0.047342377839890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72162633893317"/>
                  <c:y val="-0.052076615623879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lstStyle/>
              <a:p>
                <a:pPr>
                  <a:defRPr lang="zh-CN" sz="800" b="0" i="0" u="none" strike="noStrike" kern="1200" baseline="0">
                    <a:solidFill>
                      <a:schemeClr val="tx2"/>
                    </a:solidFill>
                    <a:latin typeface="微软雅黑" panose="020B0503020204020204" pitchFamily="2" charset="-122"/>
                    <a:ea typeface="微软雅黑" panose="020B0503020204020204" pitchFamily="2" charset="-122"/>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numRef>
              <c:f>美国十年期国债收益率!$A$67:$A$71</c:f>
              <c:numCache>
                <c:formatCode>mm/dd/yyyy</c:formatCode>
                <c:ptCount val="5"/>
                <c:pt idx="0" c:formatCode="mm/dd/yyyy">
                  <c:v>44459</c:v>
                </c:pt>
                <c:pt idx="1" c:formatCode="mm/dd/yyyy">
                  <c:v>44460</c:v>
                </c:pt>
                <c:pt idx="2" c:formatCode="mm/dd/yyyy">
                  <c:v>44461</c:v>
                </c:pt>
                <c:pt idx="3" c:formatCode="mm/dd/yyyy">
                  <c:v>44462</c:v>
                </c:pt>
                <c:pt idx="4" c:formatCode="mm/dd/yyyy">
                  <c:v>44463</c:v>
                </c:pt>
              </c:numCache>
            </c:numRef>
          </c:cat>
          <c:val>
            <c:numRef>
              <c:f>美国十年期国债收益率!$B$67:$B$71</c:f>
              <c:numCache>
                <c:formatCode>#,##0.00</c:formatCode>
                <c:ptCount val="5"/>
                <c:pt idx="0">
                  <c:v>1.31</c:v>
                </c:pt>
                <c:pt idx="1">
                  <c:v>1.33</c:v>
                </c:pt>
                <c:pt idx="2">
                  <c:v>1.32</c:v>
                </c:pt>
                <c:pt idx="3">
                  <c:v>1.41</c:v>
                </c:pt>
                <c:pt idx="4">
                  <c:v>1.47</c:v>
                </c:pt>
              </c:numCache>
            </c:numRef>
          </c:val>
          <c:smooth val="1"/>
        </c:ser>
        <c:dLbls>
          <c:showLegendKey val="0"/>
          <c:showVal val="0"/>
          <c:showCatName val="0"/>
          <c:showSerName val="0"/>
          <c:showPercent val="0"/>
          <c:showBubbleSize val="0"/>
        </c:dLbls>
        <c:marker val="0"/>
        <c:smooth val="1"/>
        <c:axId val="1556555600"/>
        <c:axId val="1556551992"/>
      </c:lineChart>
      <c:dateAx>
        <c:axId val="1556555600"/>
        <c:scaling>
          <c:orientation val="minMax"/>
        </c:scaling>
        <c:delete val="0"/>
        <c:axPos val="b"/>
        <c:numFmt formatCode="mm/dd/yyyy"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zh-CN" sz="800" b="0" i="0" u="none" strike="noStrike" kern="1200" baseline="0">
                <a:solidFill>
                  <a:schemeClr val="tx2"/>
                </a:solidFill>
                <a:latin typeface="微软雅黑" panose="020B0503020204020204" pitchFamily="2" charset="-122"/>
                <a:ea typeface="微软雅黑" panose="020B0503020204020204" pitchFamily="2" charset="-122"/>
                <a:cs typeface="+mn-cs"/>
              </a:defRPr>
            </a:pPr>
          </a:p>
        </c:txPr>
        <c:crossAx val="1556551992"/>
        <c:crosses val="autoZero"/>
        <c:auto val="1"/>
        <c:lblOffset val="100"/>
        <c:baseTimeUnit val="days"/>
      </c:dateAx>
      <c:valAx>
        <c:axId val="1556551992"/>
        <c:scaling>
          <c:orientation val="minMax"/>
          <c:max val="1.5"/>
          <c:min val="1.2"/>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800" b="0" i="0" u="none" strike="noStrike" kern="1200" baseline="0">
                <a:solidFill>
                  <a:schemeClr val="tx2"/>
                </a:solidFill>
                <a:latin typeface="微软雅黑" panose="020B0503020204020204" pitchFamily="2" charset="-122"/>
                <a:ea typeface="微软雅黑" panose="020B0503020204020204" pitchFamily="2" charset="-122"/>
                <a:cs typeface="+mn-cs"/>
              </a:defRPr>
            </a:pPr>
          </a:p>
        </c:txPr>
        <c:crossAx val="1556555600"/>
        <c:crosses val="autoZero"/>
        <c:crossBetween val="between"/>
        <c:majorUnit val="0.0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sz="800">
          <a:latin typeface="微软雅黑" panose="020B0503020204020204" pitchFamily="2" charset="-122"/>
          <a:ea typeface="微软雅黑" panose="020B0503020204020204" pitchFamily="2"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960" b="1" i="0" u="none" strike="noStrike" kern="1200" baseline="0">
                <a:solidFill>
                  <a:schemeClr val="tx2"/>
                </a:solidFill>
                <a:latin typeface="微软雅黑" panose="020B0503020204020204" pitchFamily="2" charset="-122"/>
                <a:ea typeface="微软雅黑" panose="020B0503020204020204" pitchFamily="2" charset="-122"/>
                <a:cs typeface="+mn-cs"/>
              </a:defRPr>
            </a:pPr>
            <a:r>
              <a:rPr lang="zh-CN"/>
              <a:t>近</a:t>
            </a:r>
            <a:r>
              <a:rPr lang="en-US"/>
              <a:t>1</a:t>
            </a:r>
            <a:r>
              <a:rPr lang="zh-CN"/>
              <a:t>个月美国十年期国债收益率</a:t>
            </a:r>
            <a:r>
              <a:rPr lang="en-US"/>
              <a:t> </a:t>
            </a:r>
            <a:r>
              <a:rPr lang="zh-CN"/>
              <a:t>（</a:t>
            </a:r>
            <a:r>
              <a:rPr lang="en-US"/>
              <a:t>%</a:t>
            </a:r>
            <a:r>
              <a:rPr lang="zh-CN"/>
              <a:t>）</a:t>
            </a:r>
            <a:endParaRPr lang="en-US"/>
          </a:p>
          <a:p>
            <a:pPr>
              <a:defRPr lang="zh-CN" sz="960" b="1" i="0" u="none" strike="noStrike" kern="1200" baseline="0">
                <a:solidFill>
                  <a:schemeClr val="tx2"/>
                </a:solidFill>
                <a:latin typeface="微软雅黑" panose="020B0503020204020204" pitchFamily="2" charset="-122"/>
                <a:ea typeface="微软雅黑" panose="020B0503020204020204" pitchFamily="2" charset="-122"/>
                <a:cs typeface="+mn-cs"/>
              </a:defRPr>
            </a:pPr>
            <a:r>
              <a:rPr lang="zh-CN"/>
              <a:t>（</a:t>
            </a:r>
            <a:r>
              <a:rPr lang="en-US"/>
              <a:t>2021.8.24—2021.9.24</a:t>
            </a:r>
            <a:r>
              <a:rPr lang="zh-CN"/>
              <a:t>）</a:t>
            </a:r>
            <a:endParaRPr lang="zh-CN"/>
          </a:p>
        </c:rich>
      </c:tx>
      <c:layout>
        <c:manualLayout>
          <c:xMode val="edge"/>
          <c:yMode val="edge"/>
          <c:x val="0.328620574709296"/>
          <c:y val="0.00208755404248209"/>
        </c:manualLayout>
      </c:layout>
      <c:overlay val="0"/>
      <c:spPr>
        <a:noFill/>
        <a:ln>
          <a:noFill/>
        </a:ln>
        <a:effectLst/>
      </c:spPr>
    </c:title>
    <c:autoTitleDeleted val="0"/>
    <c:plotArea>
      <c:layout>
        <c:manualLayout>
          <c:layoutTarget val="inner"/>
          <c:xMode val="edge"/>
          <c:yMode val="edge"/>
          <c:x val="0.0716302731500225"/>
          <c:y val="0.169688153387606"/>
          <c:w val="0.901940125696686"/>
          <c:h val="0.594110152676539"/>
        </c:manualLayout>
      </c:layout>
      <c:lineChart>
        <c:grouping val="standard"/>
        <c:varyColors val="0"/>
        <c:ser>
          <c:idx val="0"/>
          <c:order val="0"/>
          <c:spPr>
            <a:ln w="31750" cap="rnd">
              <a:solidFill>
                <a:schemeClr val="accent1"/>
              </a:solidFill>
              <a:round/>
            </a:ln>
            <a:effectLst>
              <a:outerShdw blurRad="40000" dist="23000" dir="5400000" rotWithShape="0">
                <a:srgbClr val="000000">
                  <a:alpha val="35000"/>
                </a:srgbClr>
              </a:outerShdw>
            </a:effectLst>
          </c:spPr>
          <c:marker>
            <c:symbol val="none"/>
          </c:marker>
          <c:dLbls>
            <c:delete val="1"/>
          </c:dLbls>
          <c:cat>
            <c:numRef>
              <c:f>美国十年期国债收益率!$A$49:$A$71</c:f>
              <c:numCache>
                <c:formatCode>mm/dd/yyyy</c:formatCode>
                <c:ptCount val="23"/>
                <c:pt idx="0" c:formatCode="mm/dd/yyyy">
                  <c:v>44432</c:v>
                </c:pt>
                <c:pt idx="1" c:formatCode="mm/dd/yyyy">
                  <c:v>44433</c:v>
                </c:pt>
                <c:pt idx="2" c:formatCode="mm/dd/yyyy">
                  <c:v>44434</c:v>
                </c:pt>
                <c:pt idx="3" c:formatCode="mm/dd/yyyy">
                  <c:v>44435</c:v>
                </c:pt>
                <c:pt idx="4" c:formatCode="mm/dd/yyyy">
                  <c:v>44438</c:v>
                </c:pt>
                <c:pt idx="5" c:formatCode="mm/dd/yyyy">
                  <c:v>44439</c:v>
                </c:pt>
                <c:pt idx="6" c:formatCode="mm/dd/yyyy">
                  <c:v>44440</c:v>
                </c:pt>
                <c:pt idx="7" c:formatCode="mm/dd/yyyy">
                  <c:v>44441</c:v>
                </c:pt>
                <c:pt idx="8" c:formatCode="mm/dd/yyyy">
                  <c:v>44442</c:v>
                </c:pt>
                <c:pt idx="9" c:formatCode="mm/dd/yyyy">
                  <c:v>44446</c:v>
                </c:pt>
                <c:pt idx="10" c:formatCode="mm/dd/yyyy">
                  <c:v>44447</c:v>
                </c:pt>
                <c:pt idx="11" c:formatCode="mm/dd/yyyy">
                  <c:v>44448</c:v>
                </c:pt>
                <c:pt idx="12" c:formatCode="mm/dd/yyyy">
                  <c:v>44449</c:v>
                </c:pt>
                <c:pt idx="13" c:formatCode="mm/dd/yyyy">
                  <c:v>44452</c:v>
                </c:pt>
                <c:pt idx="14" c:formatCode="mm/dd/yyyy">
                  <c:v>44453</c:v>
                </c:pt>
                <c:pt idx="15" c:formatCode="mm/dd/yyyy">
                  <c:v>44454</c:v>
                </c:pt>
                <c:pt idx="16" c:formatCode="mm/dd/yyyy">
                  <c:v>44455</c:v>
                </c:pt>
                <c:pt idx="17" c:formatCode="mm/dd/yyyy">
                  <c:v>44456</c:v>
                </c:pt>
                <c:pt idx="18" c:formatCode="mm/dd/yyyy">
                  <c:v>44459</c:v>
                </c:pt>
                <c:pt idx="19" c:formatCode="mm/dd/yyyy">
                  <c:v>44460</c:v>
                </c:pt>
                <c:pt idx="20" c:formatCode="mm/dd/yyyy">
                  <c:v>44461</c:v>
                </c:pt>
                <c:pt idx="21" c:formatCode="mm/dd/yyyy">
                  <c:v>44462</c:v>
                </c:pt>
                <c:pt idx="22" c:formatCode="mm/dd/yyyy">
                  <c:v>44463</c:v>
                </c:pt>
              </c:numCache>
            </c:numRef>
          </c:cat>
          <c:val>
            <c:numRef>
              <c:f>美国十年期国债收益率!$B$49:$B$71</c:f>
              <c:numCache>
                <c:formatCode>#,##0.00</c:formatCode>
                <c:ptCount val="23"/>
                <c:pt idx="0">
                  <c:v>1.29</c:v>
                </c:pt>
                <c:pt idx="1">
                  <c:v>1.35</c:v>
                </c:pt>
                <c:pt idx="2">
                  <c:v>1.34</c:v>
                </c:pt>
                <c:pt idx="3">
                  <c:v>1.31</c:v>
                </c:pt>
                <c:pt idx="4">
                  <c:v>1.29</c:v>
                </c:pt>
                <c:pt idx="5">
                  <c:v>1.3</c:v>
                </c:pt>
                <c:pt idx="6">
                  <c:v>1.31</c:v>
                </c:pt>
                <c:pt idx="7">
                  <c:v>1.29</c:v>
                </c:pt>
                <c:pt idx="8">
                  <c:v>1.33</c:v>
                </c:pt>
                <c:pt idx="9">
                  <c:v>1.38</c:v>
                </c:pt>
                <c:pt idx="10">
                  <c:v>1.35</c:v>
                </c:pt>
                <c:pt idx="11">
                  <c:v>1.3</c:v>
                </c:pt>
                <c:pt idx="12">
                  <c:v>1.35</c:v>
                </c:pt>
                <c:pt idx="13">
                  <c:v>1.33</c:v>
                </c:pt>
                <c:pt idx="14">
                  <c:v>1.28</c:v>
                </c:pt>
                <c:pt idx="15">
                  <c:v>1.31</c:v>
                </c:pt>
                <c:pt idx="16">
                  <c:v>1.34</c:v>
                </c:pt>
                <c:pt idx="17">
                  <c:v>1.37</c:v>
                </c:pt>
                <c:pt idx="18">
                  <c:v>1.31</c:v>
                </c:pt>
                <c:pt idx="19">
                  <c:v>1.33</c:v>
                </c:pt>
                <c:pt idx="20">
                  <c:v>1.32</c:v>
                </c:pt>
                <c:pt idx="21">
                  <c:v>1.41</c:v>
                </c:pt>
                <c:pt idx="22">
                  <c:v>1.47</c:v>
                </c:pt>
              </c:numCache>
            </c:numRef>
          </c:val>
          <c:smooth val="1"/>
        </c:ser>
        <c:dLbls>
          <c:showLegendKey val="0"/>
          <c:showVal val="0"/>
          <c:showCatName val="0"/>
          <c:showSerName val="0"/>
          <c:showPercent val="0"/>
          <c:showBubbleSize val="0"/>
        </c:dLbls>
        <c:marker val="0"/>
        <c:smooth val="1"/>
        <c:axId val="1548677624"/>
        <c:axId val="1548676968"/>
      </c:lineChart>
      <c:dateAx>
        <c:axId val="1548677624"/>
        <c:scaling>
          <c:orientation val="minMax"/>
        </c:scaling>
        <c:delete val="0"/>
        <c:axPos val="b"/>
        <c:numFmt formatCode="mm/dd/yyyy"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zh-CN" sz="800" b="0" i="0" u="none" strike="noStrike" kern="1200" baseline="0">
                <a:solidFill>
                  <a:schemeClr val="tx2"/>
                </a:solidFill>
                <a:latin typeface="微软雅黑" panose="020B0503020204020204" pitchFamily="2" charset="-122"/>
                <a:ea typeface="微软雅黑" panose="020B0503020204020204" pitchFamily="2" charset="-122"/>
                <a:cs typeface="+mn-cs"/>
              </a:defRPr>
            </a:pPr>
          </a:p>
        </c:txPr>
        <c:crossAx val="1548676968"/>
        <c:crosses val="autoZero"/>
        <c:auto val="1"/>
        <c:lblOffset val="100"/>
        <c:baseTimeUnit val="days"/>
      </c:dateAx>
      <c:valAx>
        <c:axId val="1548676968"/>
        <c:scaling>
          <c:orientation val="minMax"/>
          <c:max val="1.5"/>
          <c:min val="1.15"/>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800" b="0" i="0" u="none" strike="noStrike" kern="1200" baseline="0">
                <a:solidFill>
                  <a:schemeClr val="tx2"/>
                </a:solidFill>
                <a:latin typeface="微软雅黑" panose="020B0503020204020204" pitchFamily="2" charset="-122"/>
                <a:ea typeface="微软雅黑" panose="020B0503020204020204" pitchFamily="2" charset="-122"/>
                <a:cs typeface="+mn-cs"/>
              </a:defRPr>
            </a:pPr>
          </a:p>
        </c:txPr>
        <c:crossAx val="1548677624"/>
        <c:crosses val="autoZero"/>
        <c:crossBetween val="between"/>
        <c:majorUnit val="0.0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sz="800">
          <a:latin typeface="微软雅黑" panose="020B0503020204020204" pitchFamily="2" charset="-122"/>
          <a:ea typeface="微软雅黑" panose="020B0503020204020204" pitchFamily="2"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90C034F1-29B3-4D9E-930A-1885EF936884}" type="doc">
      <dgm:prSet loTypeId="urn:microsoft.com/office/officeart/2005/8/layout/chevron2" loCatId="process" qsTypeId="urn:microsoft.com/office/officeart/2005/8/quickstyle/simple1" qsCatId="simple" csTypeId="urn:microsoft.com/office/officeart/2005/8/colors/accent1_2" csCatId="accent1" phldr="1"/>
      <dgm:spPr/>
      <dgm:t>
        <a:bodyPr/>
        <a:p>
          <a:endParaRPr lang="zh-CN" altLang="en-US"/>
        </a:p>
      </dgm:t>
    </dgm:pt>
    <dgm:pt modelId="{97A8B20C-7F9C-425B-B0D3-0DFED394684D}">
      <dgm:prSet phldrT="[文本]" custT="1"/>
      <dgm:spPr/>
      <dgm:t>
        <a:bodyPr/>
        <a:p>
          <a:pPr algn="ctr"/>
          <a:r>
            <a:rPr lang="en-US" altLang="zh-CN" sz="800">
              <a:latin typeface="微软雅黑" panose="020B0503020204020204" pitchFamily="2" charset="-122"/>
              <a:ea typeface="微软雅黑" panose="020B0503020204020204" pitchFamily="2" charset="-122"/>
            </a:rPr>
            <a:t>9</a:t>
          </a:r>
          <a:r>
            <a:rPr lang="zh-CN" altLang="en-US" sz="800">
              <a:latin typeface="微软雅黑" panose="020B0503020204020204" pitchFamily="2" charset="-122"/>
              <a:ea typeface="微软雅黑" panose="020B0503020204020204" pitchFamily="2" charset="-122"/>
            </a:rPr>
            <a:t>月</a:t>
          </a:r>
          <a:r>
            <a:rPr lang="en-US" altLang="zh-CN" sz="800">
              <a:latin typeface="微软雅黑" panose="020B0503020204020204" pitchFamily="2" charset="-122"/>
              <a:ea typeface="微软雅黑" panose="020B0503020204020204" pitchFamily="2" charset="-122"/>
            </a:rPr>
            <a:t>20</a:t>
          </a:r>
          <a:r>
            <a:rPr lang="zh-CN" altLang="en-US" sz="800">
              <a:latin typeface="微软雅黑" panose="020B0503020204020204" pitchFamily="2" charset="-122"/>
              <a:ea typeface="微软雅黑" panose="020B0503020204020204" pitchFamily="2" charset="-122"/>
            </a:rPr>
            <a:t>日</a:t>
          </a:r>
        </a:p>
      </dgm:t>
    </dgm:pt>
    <dgm:pt modelId="{A5B3B8BD-9161-4392-A81C-A33742316F33}" cxnId="{F132241A-7CD3-4750-A80D-B73FB7EFB72F}" type="parTrans">
      <dgm:prSet/>
      <dgm:spPr/>
      <dgm:t>
        <a:bodyPr/>
        <a:p>
          <a:pPr algn="ctr"/>
          <a:endParaRPr lang="zh-CN" altLang="en-US" sz="900"/>
        </a:p>
      </dgm:t>
    </dgm:pt>
    <dgm:pt modelId="{82203F8B-E16A-405C-8EB7-CFF2DC299AB0}" cxnId="{F132241A-7CD3-4750-A80D-B73FB7EFB72F}" type="sibTrans">
      <dgm:prSet/>
      <dgm:spPr/>
      <dgm:t>
        <a:bodyPr/>
        <a:p>
          <a:pPr algn="ctr"/>
          <a:endParaRPr lang="zh-CN" altLang="en-US" sz="900"/>
        </a:p>
      </dgm:t>
    </dgm:pt>
    <dgm:pt modelId="{70098A54-63DD-4A0F-B871-20B1EDD0C83C}">
      <dgm:prSet phldrT="[文本]" custT="1"/>
      <dgm:spPr/>
      <dgm:t>
        <a:bodyPr/>
        <a:p>
          <a:pPr algn="just"/>
          <a:r>
            <a:rPr lang="zh-CN" sz="1000">
              <a:latin typeface="楷体" panose="02010609060101010101" pitchFamily="3" charset="-122"/>
              <a:ea typeface="楷体" panose="02010609060101010101" pitchFamily="3" charset="-122"/>
            </a:rPr>
            <a:t>周一</a:t>
          </a:r>
          <a:r>
            <a:rPr lang="zh-CN" altLang="en-US" sz="1000">
              <a:latin typeface="楷体" panose="02010609060101010101" pitchFamily="3" charset="-122"/>
              <a:ea typeface="楷体" panose="02010609060101010101" pitchFamily="3" charset="-122"/>
            </a:rPr>
            <a:t>，美股大跌促使投资者转向避险资产，</a:t>
          </a:r>
          <a:r>
            <a:rPr lang="en-US" altLang="zh-CN" sz="1000">
              <a:latin typeface="楷体" panose="02010609060101010101" pitchFamily="3" charset="-122"/>
              <a:ea typeface="楷体" panose="02010609060101010101" pitchFamily="3" charset="-122"/>
            </a:rPr>
            <a:t>10</a:t>
          </a:r>
          <a:r>
            <a:rPr lang="zh-CN" altLang="en-US" sz="1000">
              <a:latin typeface="楷体" panose="02010609060101010101" pitchFamily="3" charset="-122"/>
              <a:ea typeface="楷体" panose="02010609060101010101" pitchFamily="3" charset="-122"/>
            </a:rPr>
            <a:t>年期美债收益率较上周五下行</a:t>
          </a:r>
          <a:r>
            <a:rPr lang="en-US" altLang="zh-CN" sz="1000">
              <a:latin typeface="楷体" panose="02010609060101010101" pitchFamily="3" charset="-122"/>
              <a:ea typeface="楷体" panose="02010609060101010101" pitchFamily="3" charset="-122"/>
            </a:rPr>
            <a:t>4bp</a:t>
          </a:r>
          <a:r>
            <a:rPr lang="zh-CN" altLang="en-US" sz="1000">
              <a:latin typeface="楷体" panose="02010609060101010101" pitchFamily="3" charset="-122"/>
              <a:ea typeface="楷体" panose="02010609060101010101" pitchFamily="3" charset="-122"/>
            </a:rPr>
            <a:t>至</a:t>
          </a:r>
          <a:r>
            <a:rPr lang="en-US" altLang="zh-CN" sz="1000">
              <a:latin typeface="楷体" panose="02010609060101010101" pitchFamily="3" charset="-122"/>
              <a:ea typeface="楷体" panose="02010609060101010101" pitchFamily="3" charset="-122"/>
            </a:rPr>
            <a:t>1.31%</a:t>
          </a:r>
          <a:r>
            <a:rPr lang="zh-CN" altLang="en-US" sz="1000">
              <a:latin typeface="楷体" panose="02010609060101010101" pitchFamily="3" charset="-122"/>
              <a:ea typeface="楷体" panose="02010609060101010101" pitchFamily="3" charset="-122"/>
            </a:rPr>
            <a:t>。</a:t>
          </a:r>
        </a:p>
      </dgm:t>
    </dgm:pt>
    <dgm:pt modelId="{9FC29C23-8B01-404C-AB02-82A3C85C1690}" cxnId="{808C37C7-BA3B-4564-99B6-18088D42155E}" type="parTrans">
      <dgm:prSet/>
      <dgm:spPr/>
      <dgm:t>
        <a:bodyPr/>
        <a:p>
          <a:pPr algn="ctr"/>
          <a:endParaRPr lang="zh-CN" altLang="en-US" sz="900"/>
        </a:p>
      </dgm:t>
    </dgm:pt>
    <dgm:pt modelId="{9BC8AAE7-2C1E-4710-916C-0159D5C919D9}" cxnId="{808C37C7-BA3B-4564-99B6-18088D42155E}" type="sibTrans">
      <dgm:prSet/>
      <dgm:spPr/>
      <dgm:t>
        <a:bodyPr/>
        <a:p>
          <a:pPr algn="ctr"/>
          <a:endParaRPr lang="zh-CN" altLang="en-US" sz="900"/>
        </a:p>
      </dgm:t>
    </dgm:pt>
    <dgm:pt modelId="{19275E5C-F1BB-4F5A-86B3-63D0C4AFA251}">
      <dgm:prSet phldrT="[文本]" custT="1"/>
      <dgm:spPr/>
      <dgm:t>
        <a:bodyPr/>
        <a:p>
          <a:pPr algn="ctr"/>
          <a:r>
            <a:rPr lang="en-US" altLang="zh-CN" sz="800">
              <a:latin typeface="微软雅黑" panose="020B0503020204020204" pitchFamily="2" charset="-122"/>
              <a:ea typeface="微软雅黑" panose="020B0503020204020204" pitchFamily="2" charset="-122"/>
            </a:rPr>
            <a:t>9</a:t>
          </a:r>
          <a:r>
            <a:rPr lang="zh-CN" altLang="en-US" sz="800">
              <a:latin typeface="微软雅黑" panose="020B0503020204020204" pitchFamily="2" charset="-122"/>
              <a:ea typeface="微软雅黑" panose="020B0503020204020204" pitchFamily="2" charset="-122"/>
            </a:rPr>
            <a:t>月</a:t>
          </a:r>
          <a:r>
            <a:rPr lang="en-US" altLang="zh-CN" sz="800">
              <a:latin typeface="微软雅黑" panose="020B0503020204020204" pitchFamily="2" charset="-122"/>
              <a:ea typeface="微软雅黑" panose="020B0503020204020204" pitchFamily="2" charset="-122"/>
            </a:rPr>
            <a:t>21</a:t>
          </a:r>
          <a:r>
            <a:rPr lang="zh-CN" altLang="en-US" sz="800">
              <a:latin typeface="微软雅黑" panose="020B0503020204020204" pitchFamily="2" charset="-122"/>
              <a:ea typeface="微软雅黑" panose="020B0503020204020204" pitchFamily="2" charset="-122"/>
            </a:rPr>
            <a:t>日</a:t>
          </a:r>
        </a:p>
      </dgm:t>
    </dgm:pt>
    <dgm:pt modelId="{69FB87C5-FE82-4532-99EE-3D3884FBFE95}" cxnId="{876021B8-C896-4D09-A57B-BEF9C5DC5902}" type="parTrans">
      <dgm:prSet/>
      <dgm:spPr/>
      <dgm:t>
        <a:bodyPr/>
        <a:p>
          <a:pPr algn="ctr"/>
          <a:endParaRPr lang="zh-CN" altLang="en-US" sz="900"/>
        </a:p>
      </dgm:t>
    </dgm:pt>
    <dgm:pt modelId="{CC351283-88BA-465A-AF58-589C789D4724}" cxnId="{876021B8-C896-4D09-A57B-BEF9C5DC5902}" type="sibTrans">
      <dgm:prSet/>
      <dgm:spPr/>
      <dgm:t>
        <a:bodyPr/>
        <a:p>
          <a:pPr algn="ctr"/>
          <a:endParaRPr lang="zh-CN" altLang="en-US" sz="900"/>
        </a:p>
      </dgm:t>
    </dgm:pt>
    <dgm:pt modelId="{DEDCE67D-FD69-4C27-8324-3CF349CC5E12}">
      <dgm:prSet phldrT="[文本]" custT="1"/>
      <dgm:spPr/>
      <dgm:t>
        <a:bodyPr/>
        <a:p>
          <a:pPr algn="just">
            <a:lnSpc>
              <a:spcPct val="125000"/>
            </a:lnSpc>
          </a:pPr>
          <a:r>
            <a:rPr lang="zh-CN" altLang="en-US" sz="1000">
              <a:latin typeface="楷体" panose="02010609060101010101" pitchFamily="3" charset="-122"/>
              <a:ea typeface="楷体" panose="02010609060101010101" pitchFamily="3" charset="-122"/>
            </a:rPr>
            <a:t>周二，</a:t>
          </a:r>
          <a:r>
            <a:rPr lang="zh-CN" altLang="en-US" sz="1000" b="0" i="0">
              <a:latin typeface="楷体" panose="02010609060101010101" pitchFamily="3" charset="-122"/>
              <a:ea typeface="楷体" panose="02010609060101010101" pitchFamily="3" charset="-122"/>
            </a:rPr>
            <a:t>随着全球主要股指企稳反弹，市场恐慌情绪逐渐消退，</a:t>
          </a:r>
          <a:r>
            <a:rPr lang="en-US" altLang="zh-CN" sz="1000" b="0" i="0">
              <a:latin typeface="楷体" panose="02010609060101010101" pitchFamily="3" charset="-122"/>
              <a:ea typeface="楷体" panose="02010609060101010101" pitchFamily="3" charset="-122"/>
            </a:rPr>
            <a:t>10</a:t>
          </a:r>
          <a:r>
            <a:rPr lang="zh-CN" altLang="en-US" sz="1000" b="0" i="0">
              <a:latin typeface="楷体" panose="02010609060101010101" pitchFamily="3" charset="-122"/>
              <a:ea typeface="楷体" panose="02010609060101010101" pitchFamily="3" charset="-122"/>
            </a:rPr>
            <a:t>年期美债收益率小幅上行</a:t>
          </a:r>
          <a:r>
            <a:rPr lang="en-US" altLang="zh-CN" sz="1000" b="0" i="0">
              <a:latin typeface="楷体" panose="02010609060101010101" pitchFamily="3" charset="-122"/>
              <a:ea typeface="楷体" panose="02010609060101010101" pitchFamily="3" charset="-122"/>
            </a:rPr>
            <a:t>2bp</a:t>
          </a:r>
          <a:r>
            <a:rPr lang="zh-CN" altLang="en-US" sz="1000" b="0" i="0">
              <a:latin typeface="楷体" panose="02010609060101010101" pitchFamily="3" charset="-122"/>
              <a:ea typeface="楷体" panose="02010609060101010101" pitchFamily="3" charset="-122"/>
            </a:rPr>
            <a:t>至</a:t>
          </a:r>
          <a:r>
            <a:rPr lang="en-US" altLang="zh-CN" sz="1000" b="0" i="0">
              <a:latin typeface="楷体" panose="02010609060101010101" pitchFamily="3" charset="-122"/>
              <a:ea typeface="楷体" panose="02010609060101010101" pitchFamily="3" charset="-122"/>
            </a:rPr>
            <a:t>1.33%</a:t>
          </a:r>
          <a:r>
            <a:rPr lang="zh-CN" altLang="en-US" sz="1000">
              <a:latin typeface="楷体" panose="02010609060101010101" pitchFamily="3" charset="-122"/>
              <a:ea typeface="楷体" panose="02010609060101010101" pitchFamily="3" charset="-122"/>
            </a:rPr>
            <a:t>。</a:t>
          </a:r>
        </a:p>
      </dgm:t>
    </dgm:pt>
    <dgm:pt modelId="{6ACA52A3-14C3-45A0-848B-94341F23C6D6}" cxnId="{D8D1110A-7B59-45F3-A1C6-83349EE5FDA5}" type="parTrans">
      <dgm:prSet/>
      <dgm:spPr/>
      <dgm:t>
        <a:bodyPr/>
        <a:p>
          <a:pPr algn="ctr"/>
          <a:endParaRPr lang="zh-CN" altLang="en-US" sz="900"/>
        </a:p>
      </dgm:t>
    </dgm:pt>
    <dgm:pt modelId="{F3B7AD8C-D925-481C-AF2E-3BAF1110AC2E}" cxnId="{D8D1110A-7B59-45F3-A1C6-83349EE5FDA5}" type="sibTrans">
      <dgm:prSet/>
      <dgm:spPr/>
      <dgm:t>
        <a:bodyPr/>
        <a:p>
          <a:pPr algn="ctr"/>
          <a:endParaRPr lang="zh-CN" altLang="en-US" sz="900"/>
        </a:p>
      </dgm:t>
    </dgm:pt>
    <dgm:pt modelId="{6D5519D3-F428-4746-AF44-E12986C04CB9}">
      <dgm:prSet phldrT="[文本]" custT="1"/>
      <dgm:spPr/>
      <dgm:t>
        <a:bodyPr/>
        <a:p>
          <a:pPr algn="ctr"/>
          <a:r>
            <a:rPr lang="en-US" altLang="zh-CN" sz="800">
              <a:latin typeface="微软雅黑" panose="020B0503020204020204" pitchFamily="2" charset="-122"/>
              <a:ea typeface="微软雅黑" panose="020B0503020204020204" pitchFamily="2" charset="-122"/>
            </a:rPr>
            <a:t>9</a:t>
          </a:r>
          <a:r>
            <a:rPr lang="zh-CN" altLang="en-US" sz="800">
              <a:latin typeface="微软雅黑" panose="020B0503020204020204" pitchFamily="2" charset="-122"/>
              <a:ea typeface="微软雅黑" panose="020B0503020204020204" pitchFamily="2" charset="-122"/>
            </a:rPr>
            <a:t>月</a:t>
          </a:r>
          <a:r>
            <a:rPr lang="en-US" altLang="zh-CN" sz="800">
              <a:latin typeface="微软雅黑" panose="020B0503020204020204" pitchFamily="2" charset="-122"/>
              <a:ea typeface="微软雅黑" panose="020B0503020204020204" pitchFamily="2" charset="-122"/>
            </a:rPr>
            <a:t>22</a:t>
          </a:r>
          <a:r>
            <a:rPr lang="zh-CN" altLang="en-US" sz="800">
              <a:latin typeface="微软雅黑" panose="020B0503020204020204" pitchFamily="2" charset="-122"/>
              <a:ea typeface="微软雅黑" panose="020B0503020204020204" pitchFamily="2" charset="-122"/>
            </a:rPr>
            <a:t>日</a:t>
          </a:r>
        </a:p>
      </dgm:t>
    </dgm:pt>
    <dgm:pt modelId="{4D05B16E-846D-432E-BA05-050D2D4F3C9C}" cxnId="{58B42D40-30B1-4169-86D7-F2E2C17804B3}" type="parTrans">
      <dgm:prSet/>
      <dgm:spPr/>
      <dgm:t>
        <a:bodyPr/>
        <a:p>
          <a:pPr algn="ctr"/>
          <a:endParaRPr lang="zh-CN" altLang="en-US" sz="900"/>
        </a:p>
      </dgm:t>
    </dgm:pt>
    <dgm:pt modelId="{A5BE4A0C-B6A6-43F7-BF5E-0E8020B1D54F}" cxnId="{58B42D40-30B1-4169-86D7-F2E2C17804B3}" type="sibTrans">
      <dgm:prSet/>
      <dgm:spPr/>
      <dgm:t>
        <a:bodyPr/>
        <a:p>
          <a:pPr algn="ctr"/>
          <a:endParaRPr lang="zh-CN" altLang="en-US" sz="900"/>
        </a:p>
      </dgm:t>
    </dgm:pt>
    <dgm:pt modelId="{B7CD4775-769A-4765-BB4C-2887984B271D}">
      <dgm:prSet phldrT="[文本]" custT="1"/>
      <dgm:spPr/>
      <dgm:t>
        <a:bodyPr/>
        <a:p>
          <a:pPr algn="just">
            <a:lnSpc>
              <a:spcPct val="125000"/>
            </a:lnSpc>
          </a:pPr>
          <a:r>
            <a:rPr lang="zh-CN" altLang="en-US" sz="1000">
              <a:latin typeface="楷体" panose="02010609060101010101" pitchFamily="3" charset="-122"/>
              <a:ea typeface="楷体" panose="02010609060101010101" pitchFamily="3" charset="-122"/>
            </a:rPr>
            <a:t>周三，美联储公布</a:t>
          </a:r>
          <a:r>
            <a:rPr lang="en-US" altLang="zh-CN" sz="1000">
              <a:latin typeface="楷体" panose="02010609060101010101" pitchFamily="3" charset="-122"/>
              <a:ea typeface="楷体" panose="02010609060101010101" pitchFamily="3" charset="-122"/>
            </a:rPr>
            <a:t>9</a:t>
          </a:r>
          <a:r>
            <a:rPr lang="zh-CN" altLang="en-US" sz="1000">
              <a:latin typeface="楷体" panose="02010609060101010101" pitchFamily="3" charset="-122"/>
              <a:ea typeface="楷体" panose="02010609060101010101" pitchFamily="3" charset="-122"/>
            </a:rPr>
            <a:t>月议息会议声明，显示缩减购债“即将进行”，同时点阵图显示加息预期有所提前，整体符合市场预期，美债收益率盘中下行，但会后鲍威尔发言偏鹰令美债收益率有所回升，</a:t>
          </a:r>
          <a:r>
            <a:rPr lang="en-US" altLang="en-US" sz="1000" b="0">
              <a:solidFill>
                <a:sysClr val="windowText" lastClr="000000"/>
              </a:solidFill>
              <a:latin typeface="楷体" panose="02010609060101010101" pitchFamily="3" charset="-122"/>
              <a:ea typeface="楷体" panose="02010609060101010101" pitchFamily="3" charset="-122"/>
            </a:rPr>
            <a:t>1</a:t>
          </a:r>
          <a:r>
            <a:rPr lang="en-US" altLang="en-US" sz="1000">
              <a:solidFill>
                <a:sysClr val="windowText" lastClr="000000"/>
              </a:solidFill>
              <a:latin typeface="楷体" panose="02010609060101010101" pitchFamily="3" charset="-122"/>
              <a:ea typeface="楷体" panose="02010609060101010101" pitchFamily="3" charset="-122"/>
            </a:rPr>
            <a:t>0</a:t>
          </a:r>
          <a:r>
            <a:rPr lang="zh-CN" altLang="en-US" sz="1000">
              <a:solidFill>
                <a:sysClr val="windowText" lastClr="000000"/>
              </a:solidFill>
              <a:latin typeface="楷体" panose="02010609060101010101" pitchFamily="3" charset="-122"/>
              <a:ea typeface="楷体" panose="02010609060101010101" pitchFamily="3" charset="-122"/>
            </a:rPr>
            <a:t>年期美债收益率先降后升，整体小幅下行</a:t>
          </a:r>
          <a:r>
            <a:rPr lang="en-US" altLang="zh-CN" sz="1000">
              <a:solidFill>
                <a:sysClr val="windowText" lastClr="000000"/>
              </a:solidFill>
              <a:latin typeface="楷体" panose="02010609060101010101" pitchFamily="3" charset="-122"/>
              <a:ea typeface="楷体" panose="02010609060101010101" pitchFamily="3" charset="-122"/>
            </a:rPr>
            <a:t>1</a:t>
          </a:r>
          <a:r>
            <a:rPr lang="en-US" altLang="en-US" sz="1000">
              <a:solidFill>
                <a:sysClr val="windowText" lastClr="000000"/>
              </a:solidFill>
              <a:latin typeface="楷体" panose="02010609060101010101" pitchFamily="3" charset="-122"/>
              <a:ea typeface="楷体" panose="02010609060101010101" pitchFamily="3" charset="-122"/>
            </a:rPr>
            <a:t>bp</a:t>
          </a:r>
          <a:r>
            <a:rPr lang="zh-CN" altLang="en-US" sz="1000">
              <a:solidFill>
                <a:sysClr val="windowText" lastClr="000000"/>
              </a:solidFill>
              <a:latin typeface="楷体" panose="02010609060101010101" pitchFamily="3" charset="-122"/>
              <a:ea typeface="楷体" panose="02010609060101010101" pitchFamily="3" charset="-122"/>
            </a:rPr>
            <a:t>至</a:t>
          </a:r>
          <a:r>
            <a:rPr lang="en-US" altLang="en-US" sz="1000">
              <a:latin typeface="楷体" panose="02010609060101010101" pitchFamily="3" charset="-122"/>
              <a:ea typeface="楷体" panose="02010609060101010101" pitchFamily="3" charset="-122"/>
            </a:rPr>
            <a:t>1.32%</a:t>
          </a:r>
          <a:r>
            <a:rPr lang="zh-CN" altLang="en-US" sz="1000">
              <a:latin typeface="楷体" panose="02010609060101010101" pitchFamily="3" charset="-122"/>
              <a:ea typeface="楷体" panose="02010609060101010101" pitchFamily="3" charset="-122"/>
            </a:rPr>
            <a:t>。</a:t>
          </a:r>
        </a:p>
      </dgm:t>
    </dgm:pt>
    <dgm:pt modelId="{F2BF68AD-8250-4FE5-91D5-1C73451ADA31}" cxnId="{4ACC41B7-847A-4C2C-AC15-3A7F7906FB3D}" type="parTrans">
      <dgm:prSet/>
      <dgm:spPr/>
      <dgm:t>
        <a:bodyPr/>
        <a:p>
          <a:pPr algn="ctr"/>
          <a:endParaRPr lang="zh-CN" altLang="en-US" sz="900"/>
        </a:p>
      </dgm:t>
    </dgm:pt>
    <dgm:pt modelId="{94463F20-D63A-4A0C-B73E-A6AA403B4EAD}" cxnId="{4ACC41B7-847A-4C2C-AC15-3A7F7906FB3D}" type="sibTrans">
      <dgm:prSet/>
      <dgm:spPr/>
      <dgm:t>
        <a:bodyPr/>
        <a:p>
          <a:pPr algn="ctr"/>
          <a:endParaRPr lang="zh-CN" altLang="en-US" sz="900"/>
        </a:p>
      </dgm:t>
    </dgm:pt>
    <dgm:pt modelId="{D021C51E-C0EE-4C7D-AA7B-448A69C68055}">
      <dgm:prSet custT="1"/>
      <dgm:spPr/>
      <dgm:t>
        <a:bodyPr/>
        <a:p>
          <a:pPr algn="ctr"/>
          <a:r>
            <a:rPr lang="en-US" altLang="zh-CN" sz="800">
              <a:latin typeface="微软雅黑" panose="020B0503020204020204" pitchFamily="2" charset="-122"/>
              <a:ea typeface="微软雅黑" panose="020B0503020204020204" pitchFamily="2" charset="-122"/>
            </a:rPr>
            <a:t>9</a:t>
          </a:r>
          <a:r>
            <a:rPr lang="zh-CN" altLang="en-US" sz="800">
              <a:latin typeface="微软雅黑" panose="020B0503020204020204" pitchFamily="2" charset="-122"/>
              <a:ea typeface="微软雅黑" panose="020B0503020204020204" pitchFamily="2" charset="-122"/>
            </a:rPr>
            <a:t>月</a:t>
          </a:r>
          <a:r>
            <a:rPr lang="en-US" altLang="zh-CN" sz="800">
              <a:latin typeface="微软雅黑" panose="020B0503020204020204" pitchFamily="2" charset="-122"/>
              <a:ea typeface="微软雅黑" panose="020B0503020204020204" pitchFamily="2" charset="-122"/>
            </a:rPr>
            <a:t>23</a:t>
          </a:r>
          <a:r>
            <a:rPr lang="zh-CN" altLang="en-US" sz="800">
              <a:latin typeface="微软雅黑" panose="020B0503020204020204" pitchFamily="2" charset="-122"/>
              <a:ea typeface="微软雅黑" panose="020B0503020204020204" pitchFamily="2" charset="-122"/>
            </a:rPr>
            <a:t>日</a:t>
          </a:r>
        </a:p>
      </dgm:t>
    </dgm:pt>
    <dgm:pt modelId="{73AF10A0-EE1F-43EE-B81D-829709682DA5}" cxnId="{573A31D7-CDC2-4F53-BDEA-0DEC1D0B13FE}" type="parTrans">
      <dgm:prSet/>
      <dgm:spPr/>
      <dgm:t>
        <a:bodyPr/>
        <a:p>
          <a:pPr algn="ctr"/>
          <a:endParaRPr lang="zh-CN" altLang="en-US" sz="900"/>
        </a:p>
      </dgm:t>
    </dgm:pt>
    <dgm:pt modelId="{F998632B-CF2A-458D-B716-537DFF5195BA}" cxnId="{573A31D7-CDC2-4F53-BDEA-0DEC1D0B13FE}" type="sibTrans">
      <dgm:prSet/>
      <dgm:spPr/>
      <dgm:t>
        <a:bodyPr/>
        <a:p>
          <a:pPr algn="ctr"/>
          <a:endParaRPr lang="zh-CN" altLang="en-US" sz="900"/>
        </a:p>
      </dgm:t>
    </dgm:pt>
    <dgm:pt modelId="{4E63523C-D725-475E-B1EE-9F7F0F806152}">
      <dgm:prSet custT="1"/>
      <dgm:spPr/>
      <dgm:t>
        <a:bodyPr/>
        <a:p>
          <a:pPr algn="just">
            <a:lnSpc>
              <a:spcPct val="125000"/>
            </a:lnSpc>
          </a:pPr>
          <a:r>
            <a:rPr lang="zh-CN" altLang="en-US" sz="1000">
              <a:latin typeface="楷体" panose="02010609060101010101" pitchFamily="3" charset="-122"/>
              <a:ea typeface="楷体" panose="02010609060101010101" pitchFamily="3" charset="-122"/>
            </a:rPr>
            <a:t>周四，</a:t>
          </a:r>
          <a:r>
            <a:rPr lang="zh-CN" altLang="en-US" sz="1000" b="0" i="0">
              <a:latin typeface="楷体" panose="02010609060101010101" pitchFamily="3" charset="-122"/>
              <a:ea typeface="楷体" panose="02010609060101010101" pitchFamily="3" charset="-122"/>
            </a:rPr>
            <a:t>美国参议院多数党领袖宣布白宫与参众两院就后续财政计划的支付方案达成一致，叠加</a:t>
          </a:r>
          <a:r>
            <a:rPr lang="zh-CN" altLang="en-US" sz="1000" b="0" i="0">
              <a:latin typeface="楷体" panose="02010609060101010101" pitchFamily="3" charset="-122"/>
              <a:ea typeface="楷体" panose="02010609060101010101" pitchFamily="3" charset="-122"/>
            </a:rPr>
            <a:t>英国央行</a:t>
          </a:r>
          <a:r>
            <a:rPr lang="en-US" altLang="zh-CN" sz="1000" b="0" i="0">
              <a:latin typeface="楷体" panose="02010609060101010101" pitchFamily="3" charset="-122"/>
              <a:ea typeface="楷体" panose="02010609060101010101" pitchFamily="3" charset="-122"/>
            </a:rPr>
            <a:t>9</a:t>
          </a:r>
          <a:r>
            <a:rPr lang="zh-CN" altLang="en-US" sz="1000" b="0" i="0">
              <a:latin typeface="楷体" panose="02010609060101010101" pitchFamily="3" charset="-122"/>
              <a:ea typeface="楷体" panose="02010609060101010101" pitchFamily="3" charset="-122"/>
            </a:rPr>
            <a:t>月会议暗示收紧步伐可能提前，令英国国债收益率大幅飙升，利率联动效应导致美债收益率被动跟随上行，</a:t>
          </a:r>
          <a:r>
            <a:rPr lang="en-US" altLang="en-US" sz="1000">
              <a:latin typeface="楷体" panose="02010609060101010101" pitchFamily="3" charset="-122"/>
              <a:ea typeface="楷体" panose="02010609060101010101" pitchFamily="3" charset="-122"/>
            </a:rPr>
            <a:t>10</a:t>
          </a:r>
          <a:r>
            <a:rPr lang="zh-CN" altLang="en-US" sz="1000">
              <a:latin typeface="楷体" panose="02010609060101010101" pitchFamily="3" charset="-122"/>
              <a:ea typeface="楷体" panose="02010609060101010101" pitchFamily="3" charset="-122"/>
            </a:rPr>
            <a:t>年期美债收益率飙升</a:t>
          </a:r>
          <a:r>
            <a:rPr lang="en-US" altLang="zh-CN" sz="1000">
              <a:latin typeface="楷体" panose="02010609060101010101" pitchFamily="3" charset="-122"/>
              <a:ea typeface="楷体" panose="02010609060101010101" pitchFamily="3" charset="-122"/>
            </a:rPr>
            <a:t>9</a:t>
          </a:r>
          <a:r>
            <a:rPr lang="en-US" altLang="en-US" sz="1000">
              <a:latin typeface="楷体" panose="02010609060101010101" pitchFamily="3" charset="-122"/>
              <a:ea typeface="楷体" panose="02010609060101010101" pitchFamily="3" charset="-122"/>
            </a:rPr>
            <a:t>bp</a:t>
          </a:r>
          <a:r>
            <a:rPr lang="zh-CN" altLang="en-US" sz="1000">
              <a:latin typeface="楷体" panose="02010609060101010101" pitchFamily="3" charset="-122"/>
              <a:ea typeface="楷体" panose="02010609060101010101" pitchFamily="3" charset="-122"/>
            </a:rPr>
            <a:t>至</a:t>
          </a:r>
          <a:r>
            <a:rPr lang="en-US" altLang="zh-CN" sz="1000">
              <a:latin typeface="楷体" panose="02010609060101010101" pitchFamily="3" charset="-122"/>
              <a:ea typeface="楷体" panose="02010609060101010101" pitchFamily="3" charset="-122"/>
            </a:rPr>
            <a:t>1.41</a:t>
          </a:r>
          <a:r>
            <a:rPr lang="en-US" altLang="en-US" sz="1000">
              <a:latin typeface="楷体" panose="02010609060101010101" pitchFamily="3" charset="-122"/>
              <a:ea typeface="楷体" panose="02010609060101010101" pitchFamily="3" charset="-122"/>
            </a:rPr>
            <a:t>%</a:t>
          </a:r>
          <a:r>
            <a:rPr lang="zh-CN" altLang="en-US" sz="1000">
              <a:latin typeface="楷体" panose="02010609060101010101" pitchFamily="3" charset="-122"/>
              <a:ea typeface="楷体" panose="02010609060101010101" pitchFamily="3" charset="-122"/>
            </a:rPr>
            <a:t>。</a:t>
          </a:r>
        </a:p>
      </dgm:t>
    </dgm:pt>
    <dgm:pt modelId="{6B709BB3-BA79-48A9-A90D-588A584F8842}" cxnId="{004DF060-8EC6-4794-A1E2-59C0A62DE1F0}" type="parTrans">
      <dgm:prSet/>
      <dgm:spPr/>
      <dgm:t>
        <a:bodyPr/>
        <a:p>
          <a:pPr algn="ctr"/>
          <a:endParaRPr lang="zh-CN" altLang="en-US" sz="900"/>
        </a:p>
      </dgm:t>
    </dgm:pt>
    <dgm:pt modelId="{126117EB-CBAE-43D0-A48E-458CAE294197}" cxnId="{004DF060-8EC6-4794-A1E2-59C0A62DE1F0}" type="sibTrans">
      <dgm:prSet/>
      <dgm:spPr/>
      <dgm:t>
        <a:bodyPr/>
        <a:p>
          <a:pPr algn="ctr"/>
          <a:endParaRPr lang="zh-CN" altLang="en-US" sz="900"/>
        </a:p>
      </dgm:t>
    </dgm:pt>
    <dgm:pt modelId="{41EE6CE9-F1D8-4078-84EC-7B205220E46B}">
      <dgm:prSet custT="1"/>
      <dgm:spPr/>
      <dgm:t>
        <a:bodyPr/>
        <a:p>
          <a:pPr algn="ctr"/>
          <a:r>
            <a:rPr lang="en-US" altLang="zh-CN" sz="800">
              <a:latin typeface="微软雅黑" panose="020B0503020204020204" pitchFamily="2" charset="-122"/>
              <a:ea typeface="微软雅黑" panose="020B0503020204020204" pitchFamily="2" charset="-122"/>
            </a:rPr>
            <a:t>9</a:t>
          </a:r>
          <a:r>
            <a:rPr lang="zh-CN" altLang="en-US" sz="800">
              <a:latin typeface="微软雅黑" panose="020B0503020204020204" pitchFamily="2" charset="-122"/>
              <a:ea typeface="微软雅黑" panose="020B0503020204020204" pitchFamily="2" charset="-122"/>
            </a:rPr>
            <a:t>月</a:t>
          </a:r>
          <a:r>
            <a:rPr lang="en-US" altLang="zh-CN" sz="800">
              <a:latin typeface="微软雅黑" panose="020B0503020204020204" pitchFamily="2" charset="-122"/>
              <a:ea typeface="微软雅黑" panose="020B0503020204020204" pitchFamily="2" charset="-122"/>
            </a:rPr>
            <a:t>24</a:t>
          </a:r>
          <a:r>
            <a:rPr lang="zh-CN" altLang="en-US" sz="800">
              <a:latin typeface="微软雅黑" panose="020B0503020204020204" pitchFamily="2" charset="-122"/>
              <a:ea typeface="微软雅黑" panose="020B0503020204020204" pitchFamily="2" charset="-122"/>
            </a:rPr>
            <a:t>日</a:t>
          </a:r>
        </a:p>
      </dgm:t>
    </dgm:pt>
    <dgm:pt modelId="{4C7B0E8B-42FD-4D31-A91C-13AFF71B1E6C}" cxnId="{9370B812-F991-484F-BC4C-3C77A6082E8D}" type="parTrans">
      <dgm:prSet/>
      <dgm:spPr/>
      <dgm:t>
        <a:bodyPr/>
        <a:p>
          <a:pPr algn="ctr"/>
          <a:endParaRPr lang="zh-CN" altLang="en-US" sz="900"/>
        </a:p>
      </dgm:t>
    </dgm:pt>
    <dgm:pt modelId="{ED23043F-2E77-4366-87E4-AA3A5AAEE072}" cxnId="{9370B812-F991-484F-BC4C-3C77A6082E8D}" type="sibTrans">
      <dgm:prSet/>
      <dgm:spPr/>
      <dgm:t>
        <a:bodyPr/>
        <a:p>
          <a:pPr algn="ctr"/>
          <a:endParaRPr lang="zh-CN" altLang="en-US" sz="900"/>
        </a:p>
      </dgm:t>
    </dgm:pt>
    <dgm:pt modelId="{F74BABC1-9170-4A67-932B-F9817471BE31}">
      <dgm:prSet custT="1"/>
      <dgm:spPr/>
      <dgm:t>
        <a:bodyPr/>
        <a:p>
          <a:pPr algn="just">
            <a:lnSpc>
              <a:spcPct val="125000"/>
            </a:lnSpc>
          </a:pPr>
          <a:r>
            <a:rPr lang="zh-CN" altLang="en-US" sz="1000">
              <a:latin typeface="楷体" panose="02010609060101010101" pitchFamily="3" charset="-122"/>
              <a:ea typeface="楷体" panose="02010609060101010101" pitchFamily="3" charset="-122"/>
            </a:rPr>
            <a:t>周五，关于暂停债务上限以及财政刺激的乐观预期持续升温，</a:t>
          </a:r>
          <a:r>
            <a:rPr lang="en-US" altLang="en-US" sz="1000">
              <a:latin typeface="楷体" panose="02010609060101010101" pitchFamily="3" charset="-122"/>
              <a:ea typeface="楷体" panose="02010609060101010101" pitchFamily="3" charset="-122"/>
            </a:rPr>
            <a:t>10</a:t>
          </a:r>
          <a:r>
            <a:rPr lang="zh-CN" altLang="en-US" sz="1000">
              <a:latin typeface="楷体" panose="02010609060101010101" pitchFamily="3" charset="-122"/>
              <a:ea typeface="楷体" panose="02010609060101010101" pitchFamily="3" charset="-122"/>
            </a:rPr>
            <a:t>年期美债收益率继续上行</a:t>
          </a:r>
          <a:r>
            <a:rPr lang="en-US" altLang="zh-CN" sz="1000">
              <a:latin typeface="楷体" panose="02010609060101010101" pitchFamily="3" charset="-122"/>
              <a:ea typeface="楷体" panose="02010609060101010101" pitchFamily="3" charset="-122"/>
            </a:rPr>
            <a:t>6bp</a:t>
          </a:r>
          <a:r>
            <a:rPr lang="zh-CN" altLang="en-US" sz="1000">
              <a:latin typeface="楷体" panose="02010609060101010101" pitchFamily="3" charset="-122"/>
              <a:ea typeface="楷体" panose="02010609060101010101" pitchFamily="3" charset="-122"/>
            </a:rPr>
            <a:t>至</a:t>
          </a:r>
          <a:r>
            <a:rPr lang="en-US" altLang="en-US" sz="1000">
              <a:latin typeface="楷体" panose="02010609060101010101" pitchFamily="3" charset="-122"/>
              <a:ea typeface="楷体" panose="02010609060101010101" pitchFamily="3" charset="-122"/>
            </a:rPr>
            <a:t>1.47%</a:t>
          </a:r>
          <a:r>
            <a:rPr lang="zh-CN" altLang="en-US" sz="1000">
              <a:latin typeface="楷体" panose="02010609060101010101" pitchFamily="3" charset="-122"/>
              <a:ea typeface="楷体" panose="02010609060101010101" pitchFamily="3" charset="-122"/>
            </a:rPr>
            <a:t>。</a:t>
          </a:r>
        </a:p>
      </dgm:t>
    </dgm:pt>
    <dgm:pt modelId="{2618B873-B111-4F28-BD3F-CEC97B304FC7}" cxnId="{0B5F27DC-BE40-450B-980F-2EB11F59B920}" type="parTrans">
      <dgm:prSet/>
      <dgm:spPr/>
      <dgm:t>
        <a:bodyPr/>
        <a:p>
          <a:pPr algn="ctr"/>
          <a:endParaRPr lang="zh-CN" altLang="en-US" sz="900"/>
        </a:p>
      </dgm:t>
    </dgm:pt>
    <dgm:pt modelId="{7EFD3836-499D-454A-9C57-EFDBBBDC9E74}" cxnId="{0B5F27DC-BE40-450B-980F-2EB11F59B920}" type="sibTrans">
      <dgm:prSet/>
      <dgm:spPr/>
      <dgm:t>
        <a:bodyPr/>
        <a:p>
          <a:pPr algn="ctr"/>
          <a:endParaRPr lang="zh-CN" altLang="en-US" sz="900"/>
        </a:p>
      </dgm:t>
    </dgm:pt>
    <dgm:pt modelId="{B148469D-8090-40C3-9DA8-21B60F4496BD}" type="pres">
      <dgm:prSet presAssocID="{90C034F1-29B3-4D9E-930A-1885EF936884}" presName="linearFlow" presStyleCnt="0">
        <dgm:presLayoutVars>
          <dgm:dir/>
          <dgm:animLvl val="lvl"/>
          <dgm:resizeHandles val="exact"/>
        </dgm:presLayoutVars>
      </dgm:prSet>
      <dgm:spPr/>
    </dgm:pt>
    <dgm:pt modelId="{9FFF1A65-3F01-4A15-A354-6E7F7603586B}" type="pres">
      <dgm:prSet presAssocID="{97A8B20C-7F9C-425B-B0D3-0DFED394684D}" presName="composite" presStyleCnt="0"/>
      <dgm:spPr/>
    </dgm:pt>
    <dgm:pt modelId="{B0E484EA-2684-45FD-AF4A-C894FA671646}" type="pres">
      <dgm:prSet presAssocID="{97A8B20C-7F9C-425B-B0D3-0DFED394684D}" presName="parentText" presStyleLbl="alignNode1" presStyleIdx="0" presStyleCnt="5">
        <dgm:presLayoutVars>
          <dgm:chMax val="1"/>
          <dgm:bulletEnabled val="1"/>
        </dgm:presLayoutVars>
      </dgm:prSet>
      <dgm:spPr/>
    </dgm:pt>
    <dgm:pt modelId="{0CBBDA6F-ED88-4FCC-ABAD-FE22185D9CA2}" type="pres">
      <dgm:prSet presAssocID="{97A8B20C-7F9C-425B-B0D3-0DFED394684D}" presName="descendantText" presStyleLbl="alignAcc1" presStyleIdx="0" presStyleCnt="5">
        <dgm:presLayoutVars>
          <dgm:bulletEnabled val="1"/>
        </dgm:presLayoutVars>
      </dgm:prSet>
      <dgm:spPr/>
    </dgm:pt>
    <dgm:pt modelId="{262F9360-6984-4B7A-A7A4-3327D0ED4D17}" type="pres">
      <dgm:prSet presAssocID="{82203F8B-E16A-405C-8EB7-CFF2DC299AB0}" presName="sp" presStyleCnt="0"/>
      <dgm:spPr/>
    </dgm:pt>
    <dgm:pt modelId="{8ACAE1D9-51C1-4BA4-A2CA-871600A8ED9A}" type="pres">
      <dgm:prSet presAssocID="{19275E5C-F1BB-4F5A-86B3-63D0C4AFA251}" presName="composite" presStyleCnt="0"/>
      <dgm:spPr/>
    </dgm:pt>
    <dgm:pt modelId="{35862864-504C-4777-A720-2FCB51CD271C}" type="pres">
      <dgm:prSet presAssocID="{19275E5C-F1BB-4F5A-86B3-63D0C4AFA251}" presName="parentText" presStyleLbl="alignNode1" presStyleIdx="1" presStyleCnt="5">
        <dgm:presLayoutVars>
          <dgm:chMax val="1"/>
          <dgm:bulletEnabled val="1"/>
        </dgm:presLayoutVars>
      </dgm:prSet>
      <dgm:spPr/>
    </dgm:pt>
    <dgm:pt modelId="{FE8FD4CF-F08D-4ED4-902B-2DB65044BC51}" type="pres">
      <dgm:prSet presAssocID="{19275E5C-F1BB-4F5A-86B3-63D0C4AFA251}" presName="descendantText" presStyleLbl="alignAcc1" presStyleIdx="1" presStyleCnt="5" custScaleY="99705">
        <dgm:presLayoutVars>
          <dgm:bulletEnabled val="1"/>
        </dgm:presLayoutVars>
      </dgm:prSet>
      <dgm:spPr/>
    </dgm:pt>
    <dgm:pt modelId="{3041C2D4-FB92-47F5-969C-5C3234C89BB7}" type="pres">
      <dgm:prSet presAssocID="{CC351283-88BA-465A-AF58-589C789D4724}" presName="sp" presStyleCnt="0"/>
      <dgm:spPr/>
    </dgm:pt>
    <dgm:pt modelId="{B2460B94-FC69-426E-B01F-59AFC2C8D6F3}" type="pres">
      <dgm:prSet presAssocID="{6D5519D3-F428-4746-AF44-E12986C04CB9}" presName="composite" presStyleCnt="0"/>
      <dgm:spPr/>
    </dgm:pt>
    <dgm:pt modelId="{47D1BBB4-57E1-4E1C-B8EC-4D33E7BF63B4}" type="pres">
      <dgm:prSet presAssocID="{6D5519D3-F428-4746-AF44-E12986C04CB9}" presName="parentText" presStyleLbl="alignNode1" presStyleIdx="2" presStyleCnt="5">
        <dgm:presLayoutVars>
          <dgm:chMax val="1"/>
          <dgm:bulletEnabled val="1"/>
        </dgm:presLayoutVars>
      </dgm:prSet>
      <dgm:spPr/>
    </dgm:pt>
    <dgm:pt modelId="{52D057D2-FFE2-4170-92BB-B1AC028F79B4}" type="pres">
      <dgm:prSet presAssocID="{6D5519D3-F428-4746-AF44-E12986C04CB9}" presName="descendantText" presStyleLbl="alignAcc1" presStyleIdx="2" presStyleCnt="5" custScaleY="122534" custLinFactNeighborX="0" custLinFactNeighborY="-1358">
        <dgm:presLayoutVars>
          <dgm:bulletEnabled val="1"/>
        </dgm:presLayoutVars>
      </dgm:prSet>
      <dgm:spPr/>
    </dgm:pt>
    <dgm:pt modelId="{4E4FE878-9D75-4404-A29F-BDF181B0CD62}" type="pres">
      <dgm:prSet presAssocID="{A5BE4A0C-B6A6-43F7-BF5E-0E8020B1D54F}" presName="sp" presStyleCnt="0"/>
      <dgm:spPr/>
    </dgm:pt>
    <dgm:pt modelId="{687E0DE5-20FA-48CC-A429-6B32BF576FF0}" type="pres">
      <dgm:prSet presAssocID="{D021C51E-C0EE-4C7D-AA7B-448A69C68055}" presName="composite" presStyleCnt="0"/>
      <dgm:spPr/>
    </dgm:pt>
    <dgm:pt modelId="{A08686C8-6AE9-4347-AE4B-4998F3E4E49E}" type="pres">
      <dgm:prSet presAssocID="{D021C51E-C0EE-4C7D-AA7B-448A69C68055}" presName="parentText" presStyleLbl="alignNode1" presStyleIdx="3" presStyleCnt="5">
        <dgm:presLayoutVars>
          <dgm:chMax val="1"/>
          <dgm:bulletEnabled val="1"/>
        </dgm:presLayoutVars>
      </dgm:prSet>
      <dgm:spPr/>
    </dgm:pt>
    <dgm:pt modelId="{68220527-4DFD-4467-92AE-075472CB4626}" type="pres">
      <dgm:prSet presAssocID="{D021C51E-C0EE-4C7D-AA7B-448A69C68055}" presName="descendantText" presStyleLbl="alignAcc1" presStyleIdx="3" presStyleCnt="5" custScaleY="123806" custLinFactNeighborX="-125" custLinFactNeighborY="1748">
        <dgm:presLayoutVars>
          <dgm:bulletEnabled val="1"/>
        </dgm:presLayoutVars>
      </dgm:prSet>
      <dgm:spPr/>
    </dgm:pt>
    <dgm:pt modelId="{55670A17-A02F-4EC4-8B9D-B143337C64B0}" type="pres">
      <dgm:prSet presAssocID="{F998632B-CF2A-458D-B716-537DFF5195BA}" presName="sp" presStyleCnt="0"/>
      <dgm:spPr/>
    </dgm:pt>
    <dgm:pt modelId="{C60E04F9-4C63-4A1E-9C40-F977A57C7DC3}" type="pres">
      <dgm:prSet presAssocID="{41EE6CE9-F1D8-4078-84EC-7B205220E46B}" presName="composite" presStyleCnt="0"/>
      <dgm:spPr/>
    </dgm:pt>
    <dgm:pt modelId="{CE239837-127F-4D1E-B33D-3DC0C4EF7459}" type="pres">
      <dgm:prSet presAssocID="{41EE6CE9-F1D8-4078-84EC-7B205220E46B}" presName="parentText" presStyleLbl="alignNode1" presStyleIdx="4" presStyleCnt="5">
        <dgm:presLayoutVars>
          <dgm:chMax val="1"/>
          <dgm:bulletEnabled val="1"/>
        </dgm:presLayoutVars>
      </dgm:prSet>
      <dgm:spPr/>
    </dgm:pt>
    <dgm:pt modelId="{1A280799-04A4-4B6A-B81B-45A65C2E7835}" type="pres">
      <dgm:prSet presAssocID="{41EE6CE9-F1D8-4078-84EC-7B205220E46B}" presName="descendantText" presStyleLbl="alignAcc1" presStyleIdx="4" presStyleCnt="5">
        <dgm:presLayoutVars>
          <dgm:bulletEnabled val="1"/>
        </dgm:presLayoutVars>
      </dgm:prSet>
      <dgm:spPr/>
    </dgm:pt>
  </dgm:ptLst>
  <dgm:cxnLst>
    <dgm:cxn modelId="{D8D1110A-7B59-45F3-A1C6-83349EE5FDA5}" srcId="{19275E5C-F1BB-4F5A-86B3-63D0C4AFA251}" destId="{DEDCE67D-FD69-4C27-8324-3CF349CC5E12}" srcOrd="0" destOrd="0" parTransId="{6ACA52A3-14C3-45A0-848B-94341F23C6D6}" sibTransId="{F3B7AD8C-D925-481C-AF2E-3BAF1110AC2E}"/>
    <dgm:cxn modelId="{9370B812-F991-484F-BC4C-3C77A6082E8D}" srcId="{90C034F1-29B3-4D9E-930A-1885EF936884}" destId="{41EE6CE9-F1D8-4078-84EC-7B205220E46B}" srcOrd="4" destOrd="0" parTransId="{4C7B0E8B-42FD-4D31-A91C-13AFF71B1E6C}" sibTransId="{ED23043F-2E77-4366-87E4-AA3A5AAEE072}"/>
    <dgm:cxn modelId="{E73F3F13-7AF1-478B-88BD-01724F53A8FA}" type="presOf" srcId="{97A8B20C-7F9C-425B-B0D3-0DFED394684D}" destId="{B0E484EA-2684-45FD-AF4A-C894FA671646}" srcOrd="0" destOrd="0" presId="urn:microsoft.com/office/officeart/2005/8/layout/chevron2"/>
    <dgm:cxn modelId="{F132241A-7CD3-4750-A80D-B73FB7EFB72F}" srcId="{90C034F1-29B3-4D9E-930A-1885EF936884}" destId="{97A8B20C-7F9C-425B-B0D3-0DFED394684D}" srcOrd="0" destOrd="0" parTransId="{A5B3B8BD-9161-4392-A81C-A33742316F33}" sibTransId="{82203F8B-E16A-405C-8EB7-CFF2DC299AB0}"/>
    <dgm:cxn modelId="{5A93D22C-D7B0-4C7A-AA93-CE6F5F2EBB55}" type="presOf" srcId="{D021C51E-C0EE-4C7D-AA7B-448A69C68055}" destId="{A08686C8-6AE9-4347-AE4B-4998F3E4E49E}" srcOrd="0" destOrd="0" presId="urn:microsoft.com/office/officeart/2005/8/layout/chevron2"/>
    <dgm:cxn modelId="{58B42D40-30B1-4169-86D7-F2E2C17804B3}" srcId="{90C034F1-29B3-4D9E-930A-1885EF936884}" destId="{6D5519D3-F428-4746-AF44-E12986C04CB9}" srcOrd="2" destOrd="0" parTransId="{4D05B16E-846D-432E-BA05-050D2D4F3C9C}" sibTransId="{A5BE4A0C-B6A6-43F7-BF5E-0E8020B1D54F}"/>
    <dgm:cxn modelId="{2D869F5E-ACEE-4044-91B1-1DC83ABCDD57}" type="presOf" srcId="{19275E5C-F1BB-4F5A-86B3-63D0C4AFA251}" destId="{35862864-504C-4777-A720-2FCB51CD271C}" srcOrd="0" destOrd="0" presId="urn:microsoft.com/office/officeart/2005/8/layout/chevron2"/>
    <dgm:cxn modelId="{004DF060-8EC6-4794-A1E2-59C0A62DE1F0}" srcId="{D021C51E-C0EE-4C7D-AA7B-448A69C68055}" destId="{4E63523C-D725-475E-B1EE-9F7F0F806152}" srcOrd="0" destOrd="0" parTransId="{6B709BB3-BA79-48A9-A90D-588A584F8842}" sibTransId="{126117EB-CBAE-43D0-A48E-458CAE294197}"/>
    <dgm:cxn modelId="{CAE81D6B-5F00-4E08-84C2-854410EA8CE5}" type="presOf" srcId="{DEDCE67D-FD69-4C27-8324-3CF349CC5E12}" destId="{FE8FD4CF-F08D-4ED4-902B-2DB65044BC51}" srcOrd="0" destOrd="0" presId="urn:microsoft.com/office/officeart/2005/8/layout/chevron2"/>
    <dgm:cxn modelId="{06BC2C4D-1DC3-480A-8538-D4388A42FB54}" type="presOf" srcId="{4E63523C-D725-475E-B1EE-9F7F0F806152}" destId="{68220527-4DFD-4467-92AE-075472CB4626}" srcOrd="0" destOrd="0" presId="urn:microsoft.com/office/officeart/2005/8/layout/chevron2"/>
    <dgm:cxn modelId="{51D53876-DA6A-4ED5-84A8-2BD4253ED077}" type="presOf" srcId="{70098A54-63DD-4A0F-B871-20B1EDD0C83C}" destId="{0CBBDA6F-ED88-4FCC-ABAD-FE22185D9CA2}" srcOrd="0" destOrd="0" presId="urn:microsoft.com/office/officeart/2005/8/layout/chevron2"/>
    <dgm:cxn modelId="{8D6C9A7A-AFD8-4EE1-8D17-D0BF8203732E}" type="presOf" srcId="{6D5519D3-F428-4746-AF44-E12986C04CB9}" destId="{47D1BBB4-57E1-4E1C-B8EC-4D33E7BF63B4}" srcOrd="0" destOrd="0" presId="urn:microsoft.com/office/officeart/2005/8/layout/chevron2"/>
    <dgm:cxn modelId="{6CFA93A1-B8EC-4FCD-8E1F-A1BAC1F24939}" type="presOf" srcId="{41EE6CE9-F1D8-4078-84EC-7B205220E46B}" destId="{CE239837-127F-4D1E-B33D-3DC0C4EF7459}" srcOrd="0" destOrd="0" presId="urn:microsoft.com/office/officeart/2005/8/layout/chevron2"/>
    <dgm:cxn modelId="{00A69CB1-300E-47A3-9079-5BF318854020}" type="presOf" srcId="{90C034F1-29B3-4D9E-930A-1885EF936884}" destId="{B148469D-8090-40C3-9DA8-21B60F4496BD}" srcOrd="0" destOrd="0" presId="urn:microsoft.com/office/officeart/2005/8/layout/chevron2"/>
    <dgm:cxn modelId="{4ACC41B7-847A-4C2C-AC15-3A7F7906FB3D}" srcId="{6D5519D3-F428-4746-AF44-E12986C04CB9}" destId="{B7CD4775-769A-4765-BB4C-2887984B271D}" srcOrd="0" destOrd="0" parTransId="{F2BF68AD-8250-4FE5-91D5-1C73451ADA31}" sibTransId="{94463F20-D63A-4A0C-B73E-A6AA403B4EAD}"/>
    <dgm:cxn modelId="{876021B8-C896-4D09-A57B-BEF9C5DC5902}" srcId="{90C034F1-29B3-4D9E-930A-1885EF936884}" destId="{19275E5C-F1BB-4F5A-86B3-63D0C4AFA251}" srcOrd="1" destOrd="0" parTransId="{69FB87C5-FE82-4532-99EE-3D3884FBFE95}" sibTransId="{CC351283-88BA-465A-AF58-589C789D4724}"/>
    <dgm:cxn modelId="{808C37C7-BA3B-4564-99B6-18088D42155E}" srcId="{97A8B20C-7F9C-425B-B0D3-0DFED394684D}" destId="{70098A54-63DD-4A0F-B871-20B1EDD0C83C}" srcOrd="0" destOrd="0" parTransId="{9FC29C23-8B01-404C-AB02-82A3C85C1690}" sibTransId="{9BC8AAE7-2C1E-4710-916C-0159D5C919D9}"/>
    <dgm:cxn modelId="{69CECBC9-1142-403C-9FC9-5AB53171E1F1}" type="presOf" srcId="{F74BABC1-9170-4A67-932B-F9817471BE31}" destId="{1A280799-04A4-4B6A-B81B-45A65C2E7835}" srcOrd="0" destOrd="0" presId="urn:microsoft.com/office/officeart/2005/8/layout/chevron2"/>
    <dgm:cxn modelId="{1A43C7D0-ABAC-4C42-B8F1-4905D445A11E}" type="presOf" srcId="{B7CD4775-769A-4765-BB4C-2887984B271D}" destId="{52D057D2-FFE2-4170-92BB-B1AC028F79B4}" srcOrd="0" destOrd="0" presId="urn:microsoft.com/office/officeart/2005/8/layout/chevron2"/>
    <dgm:cxn modelId="{573A31D7-CDC2-4F53-BDEA-0DEC1D0B13FE}" srcId="{90C034F1-29B3-4D9E-930A-1885EF936884}" destId="{D021C51E-C0EE-4C7D-AA7B-448A69C68055}" srcOrd="3" destOrd="0" parTransId="{73AF10A0-EE1F-43EE-B81D-829709682DA5}" sibTransId="{F998632B-CF2A-458D-B716-537DFF5195BA}"/>
    <dgm:cxn modelId="{0B5F27DC-BE40-450B-980F-2EB11F59B920}" srcId="{41EE6CE9-F1D8-4078-84EC-7B205220E46B}" destId="{F74BABC1-9170-4A67-932B-F9817471BE31}" srcOrd="0" destOrd="0" parTransId="{2618B873-B111-4F28-BD3F-CEC97B304FC7}" sibTransId="{7EFD3836-499D-454A-9C57-EFDBBBDC9E74}"/>
    <dgm:cxn modelId="{5837D423-48F3-4E17-93F4-52F7240B058C}" type="presParOf" srcId="{B148469D-8090-40C3-9DA8-21B60F4496BD}" destId="{9FFF1A65-3F01-4A15-A354-6E7F7603586B}" srcOrd="0" destOrd="0" presId="urn:microsoft.com/office/officeart/2005/8/layout/chevron2"/>
    <dgm:cxn modelId="{E8665544-081F-48C5-BF13-7BD89D3124E4}" type="presParOf" srcId="{9FFF1A65-3F01-4A15-A354-6E7F7603586B}" destId="{B0E484EA-2684-45FD-AF4A-C894FA671646}" srcOrd="0" destOrd="0" presId="urn:microsoft.com/office/officeart/2005/8/layout/chevron2"/>
    <dgm:cxn modelId="{8B72C604-E2D9-40EE-9FA6-D03BC56CCD18}" type="presParOf" srcId="{9FFF1A65-3F01-4A15-A354-6E7F7603586B}" destId="{0CBBDA6F-ED88-4FCC-ABAD-FE22185D9CA2}" srcOrd="1" destOrd="0" presId="urn:microsoft.com/office/officeart/2005/8/layout/chevron2"/>
    <dgm:cxn modelId="{2FC5C2CB-7641-491D-B50B-8D68C227AFC7}" type="presParOf" srcId="{B148469D-8090-40C3-9DA8-21B60F4496BD}" destId="{262F9360-6984-4B7A-A7A4-3327D0ED4D17}" srcOrd="1" destOrd="0" presId="urn:microsoft.com/office/officeart/2005/8/layout/chevron2"/>
    <dgm:cxn modelId="{AEEED3EC-E5EC-4A8E-9466-B12D304C7DCA}" type="presParOf" srcId="{B148469D-8090-40C3-9DA8-21B60F4496BD}" destId="{8ACAE1D9-51C1-4BA4-A2CA-871600A8ED9A}" srcOrd="2" destOrd="0" presId="urn:microsoft.com/office/officeart/2005/8/layout/chevron2"/>
    <dgm:cxn modelId="{9FF8EE61-AD0B-4DD8-A2BE-552F534679C7}" type="presParOf" srcId="{8ACAE1D9-51C1-4BA4-A2CA-871600A8ED9A}" destId="{35862864-504C-4777-A720-2FCB51CD271C}" srcOrd="0" destOrd="0" presId="urn:microsoft.com/office/officeart/2005/8/layout/chevron2"/>
    <dgm:cxn modelId="{D8FB7E1E-31A7-4FFA-B587-E6035A5C50ED}" type="presParOf" srcId="{8ACAE1D9-51C1-4BA4-A2CA-871600A8ED9A}" destId="{FE8FD4CF-F08D-4ED4-902B-2DB65044BC51}" srcOrd="1" destOrd="0" presId="urn:microsoft.com/office/officeart/2005/8/layout/chevron2"/>
    <dgm:cxn modelId="{D7BB135A-A52C-483A-8B9B-24668AEE029D}" type="presParOf" srcId="{B148469D-8090-40C3-9DA8-21B60F4496BD}" destId="{3041C2D4-FB92-47F5-969C-5C3234C89BB7}" srcOrd="3" destOrd="0" presId="urn:microsoft.com/office/officeart/2005/8/layout/chevron2"/>
    <dgm:cxn modelId="{A4062B6A-00FC-4B50-AABA-F3F3A4E26892}" type="presParOf" srcId="{B148469D-8090-40C3-9DA8-21B60F4496BD}" destId="{B2460B94-FC69-426E-B01F-59AFC2C8D6F3}" srcOrd="4" destOrd="0" presId="urn:microsoft.com/office/officeart/2005/8/layout/chevron2"/>
    <dgm:cxn modelId="{82F4D095-F45D-4E3D-BEDA-DE04260016B4}" type="presParOf" srcId="{B2460B94-FC69-426E-B01F-59AFC2C8D6F3}" destId="{47D1BBB4-57E1-4E1C-B8EC-4D33E7BF63B4}" srcOrd="0" destOrd="0" presId="urn:microsoft.com/office/officeart/2005/8/layout/chevron2"/>
    <dgm:cxn modelId="{D4C12D63-6E4A-4AA6-B1E9-E30772FC9E3B}" type="presParOf" srcId="{B2460B94-FC69-426E-B01F-59AFC2C8D6F3}" destId="{52D057D2-FFE2-4170-92BB-B1AC028F79B4}" srcOrd="1" destOrd="0" presId="urn:microsoft.com/office/officeart/2005/8/layout/chevron2"/>
    <dgm:cxn modelId="{9B0EC937-E43E-4039-BFA3-058F5D9F0E6A}" type="presParOf" srcId="{B148469D-8090-40C3-9DA8-21B60F4496BD}" destId="{4E4FE878-9D75-4404-A29F-BDF181B0CD62}" srcOrd="5" destOrd="0" presId="urn:microsoft.com/office/officeart/2005/8/layout/chevron2"/>
    <dgm:cxn modelId="{CC856248-F995-4617-9FDA-4CBE171114E1}" type="presParOf" srcId="{B148469D-8090-40C3-9DA8-21B60F4496BD}" destId="{687E0DE5-20FA-48CC-A429-6B32BF576FF0}" srcOrd="6" destOrd="0" presId="urn:microsoft.com/office/officeart/2005/8/layout/chevron2"/>
    <dgm:cxn modelId="{03DAA57A-FE5F-43C3-B56F-4E63372681C0}" type="presParOf" srcId="{687E0DE5-20FA-48CC-A429-6B32BF576FF0}" destId="{A08686C8-6AE9-4347-AE4B-4998F3E4E49E}" srcOrd="0" destOrd="0" presId="urn:microsoft.com/office/officeart/2005/8/layout/chevron2"/>
    <dgm:cxn modelId="{714C36F7-9423-400B-B429-A9C676DF6FD1}" type="presParOf" srcId="{687E0DE5-20FA-48CC-A429-6B32BF576FF0}" destId="{68220527-4DFD-4467-92AE-075472CB4626}" srcOrd="1" destOrd="0" presId="urn:microsoft.com/office/officeart/2005/8/layout/chevron2"/>
    <dgm:cxn modelId="{AB01BD81-A630-411D-BB64-1DC86CEB39DA}" type="presParOf" srcId="{B148469D-8090-40C3-9DA8-21B60F4496BD}" destId="{55670A17-A02F-4EC4-8B9D-B143337C64B0}" srcOrd="7" destOrd="0" presId="urn:microsoft.com/office/officeart/2005/8/layout/chevron2"/>
    <dgm:cxn modelId="{1EC18C55-4C9F-44D4-A561-09F1F5885BB7}" type="presParOf" srcId="{B148469D-8090-40C3-9DA8-21B60F4496BD}" destId="{C60E04F9-4C63-4A1E-9C40-F977A57C7DC3}" srcOrd="8" destOrd="0" presId="urn:microsoft.com/office/officeart/2005/8/layout/chevron2"/>
    <dgm:cxn modelId="{BD730A14-9BA7-4497-9A76-E71BACC44C5A}" type="presParOf" srcId="{C60E04F9-4C63-4A1E-9C40-F977A57C7DC3}" destId="{CE239837-127F-4D1E-B33D-3DC0C4EF7459}" srcOrd="0" destOrd="0" presId="urn:microsoft.com/office/officeart/2005/8/layout/chevron2"/>
    <dgm:cxn modelId="{F61726FB-9952-464D-96E9-AB01F9CA8261}" type="presParOf" srcId="{C60E04F9-4C63-4A1E-9C40-F977A57C7DC3}" destId="{1A280799-04A4-4B6A-B81B-45A65C2E7835}" srcOrd="1" destOrd="0" presId="urn:microsoft.com/office/officeart/2005/8/layout/chevron2"/>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E484EA-2684-45FD-AF4A-C894FA671646}">
      <dsp:nvSpPr>
        <dsp:cNvPr id="0" name=""/>
        <dsp:cNvSpPr/>
      </dsp:nvSpPr>
      <dsp:spPr>
        <a:xfrm rot="5400000">
          <a:off x="-115545" y="118171"/>
          <a:ext cx="770305" cy="53921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altLang="zh-CN" sz="800" kern="1200">
              <a:latin typeface="微软雅黑" panose="020B0503020204020204" pitchFamily="34" charset="-122"/>
              <a:ea typeface="微软雅黑" panose="020B0503020204020204" pitchFamily="34" charset="-122"/>
            </a:rPr>
            <a:t>9</a:t>
          </a:r>
          <a:r>
            <a:rPr lang="zh-CN" altLang="en-US" sz="800" kern="1200">
              <a:latin typeface="微软雅黑" panose="020B0503020204020204" pitchFamily="34" charset="-122"/>
              <a:ea typeface="微软雅黑" panose="020B0503020204020204" pitchFamily="34" charset="-122"/>
            </a:rPr>
            <a:t>月</a:t>
          </a:r>
          <a:r>
            <a:rPr lang="en-US" altLang="zh-CN" sz="800" kern="1200">
              <a:latin typeface="微软雅黑" panose="020B0503020204020204" pitchFamily="34" charset="-122"/>
              <a:ea typeface="微软雅黑" panose="020B0503020204020204" pitchFamily="34" charset="-122"/>
            </a:rPr>
            <a:t>20</a:t>
          </a:r>
          <a:r>
            <a:rPr lang="zh-CN" altLang="en-US" sz="800" kern="1200">
              <a:latin typeface="微软雅黑" panose="020B0503020204020204" pitchFamily="34" charset="-122"/>
              <a:ea typeface="微软雅黑" panose="020B0503020204020204" pitchFamily="34" charset="-122"/>
            </a:rPr>
            <a:t>日</a:t>
          </a:r>
        </a:p>
      </dsp:txBody>
      <dsp:txXfrm rot="-5400000">
        <a:off x="2" y="272232"/>
        <a:ext cx="539213" cy="231092"/>
      </dsp:txXfrm>
    </dsp:sp>
    <dsp:sp modelId="{0CBBDA6F-ED88-4FCC-ABAD-FE22185D9CA2}">
      <dsp:nvSpPr>
        <dsp:cNvPr id="0" name=""/>
        <dsp:cNvSpPr/>
      </dsp:nvSpPr>
      <dsp:spPr>
        <a:xfrm rot="5400000">
          <a:off x="3121232" y="-2579393"/>
          <a:ext cx="500698" cy="566473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zh-CN" sz="1000" kern="1200">
              <a:latin typeface="楷体" panose="02010609060101010101" pitchFamily="49" charset="-122"/>
              <a:ea typeface="楷体" panose="02010609060101010101" pitchFamily="49" charset="-122"/>
            </a:rPr>
            <a:t>周一</a:t>
          </a:r>
          <a:r>
            <a:rPr lang="zh-CN" altLang="en-US" sz="1000" kern="1200">
              <a:latin typeface="楷体" panose="02010609060101010101" pitchFamily="49" charset="-122"/>
              <a:ea typeface="楷体" panose="02010609060101010101" pitchFamily="49" charset="-122"/>
            </a:rPr>
            <a:t>，美股大跌促使投资者转向避险资产，</a:t>
          </a:r>
          <a:r>
            <a:rPr lang="en-US" altLang="zh-CN" sz="1000" kern="1200">
              <a:latin typeface="楷体" panose="02010609060101010101" pitchFamily="49" charset="-122"/>
              <a:ea typeface="楷体" panose="02010609060101010101" pitchFamily="49" charset="-122"/>
            </a:rPr>
            <a:t>10</a:t>
          </a:r>
          <a:r>
            <a:rPr lang="zh-CN" altLang="en-US" sz="1000" kern="1200">
              <a:latin typeface="楷体" panose="02010609060101010101" pitchFamily="49" charset="-122"/>
              <a:ea typeface="楷体" panose="02010609060101010101" pitchFamily="49" charset="-122"/>
            </a:rPr>
            <a:t>年期美债收益率较上周五下行</a:t>
          </a:r>
          <a:r>
            <a:rPr lang="en-US" altLang="zh-CN" sz="1000" kern="1200">
              <a:latin typeface="楷体" panose="02010609060101010101" pitchFamily="49" charset="-122"/>
              <a:ea typeface="楷体" panose="02010609060101010101" pitchFamily="49" charset="-122"/>
            </a:rPr>
            <a:t>4bp</a:t>
          </a:r>
          <a:r>
            <a:rPr lang="zh-CN" altLang="en-US" sz="1000" kern="1200">
              <a:latin typeface="楷体" panose="02010609060101010101" pitchFamily="49" charset="-122"/>
              <a:ea typeface="楷体" panose="02010609060101010101" pitchFamily="49" charset="-122"/>
            </a:rPr>
            <a:t>至</a:t>
          </a:r>
          <a:r>
            <a:rPr lang="en-US" altLang="zh-CN" sz="1000" kern="1200">
              <a:latin typeface="楷体" panose="02010609060101010101" pitchFamily="49" charset="-122"/>
              <a:ea typeface="楷体" panose="02010609060101010101" pitchFamily="49" charset="-122"/>
            </a:rPr>
            <a:t>1.31%</a:t>
          </a:r>
          <a:r>
            <a:rPr lang="zh-CN" altLang="en-US" sz="1000" kern="1200">
              <a:latin typeface="楷体" panose="02010609060101010101" pitchFamily="49" charset="-122"/>
              <a:ea typeface="楷体" panose="02010609060101010101" pitchFamily="49" charset="-122"/>
            </a:rPr>
            <a:t>。</a:t>
          </a:r>
        </a:p>
      </dsp:txBody>
      <dsp:txXfrm rot="-5400000">
        <a:off x="539213" y="27068"/>
        <a:ext cx="5640294" cy="451814"/>
      </dsp:txXfrm>
    </dsp:sp>
    <dsp:sp modelId="{35862864-504C-4777-A720-2FCB51CD271C}">
      <dsp:nvSpPr>
        <dsp:cNvPr id="0" name=""/>
        <dsp:cNvSpPr/>
      </dsp:nvSpPr>
      <dsp:spPr>
        <a:xfrm rot="5400000">
          <a:off x="-115545" y="770626"/>
          <a:ext cx="770305" cy="53921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altLang="zh-CN" sz="800" kern="1200">
              <a:latin typeface="微软雅黑" panose="020B0503020204020204" pitchFamily="34" charset="-122"/>
              <a:ea typeface="微软雅黑" panose="020B0503020204020204" pitchFamily="34" charset="-122"/>
            </a:rPr>
            <a:t>9</a:t>
          </a:r>
          <a:r>
            <a:rPr lang="zh-CN" altLang="en-US" sz="800" kern="1200">
              <a:latin typeface="微软雅黑" panose="020B0503020204020204" pitchFamily="34" charset="-122"/>
              <a:ea typeface="微软雅黑" panose="020B0503020204020204" pitchFamily="34" charset="-122"/>
            </a:rPr>
            <a:t>月</a:t>
          </a:r>
          <a:r>
            <a:rPr lang="en-US" altLang="zh-CN" sz="800" kern="1200">
              <a:latin typeface="微软雅黑" panose="020B0503020204020204" pitchFamily="34" charset="-122"/>
              <a:ea typeface="微软雅黑" panose="020B0503020204020204" pitchFamily="34" charset="-122"/>
            </a:rPr>
            <a:t>21</a:t>
          </a:r>
          <a:r>
            <a:rPr lang="zh-CN" altLang="en-US" sz="800" kern="1200">
              <a:latin typeface="微软雅黑" panose="020B0503020204020204" pitchFamily="34" charset="-122"/>
              <a:ea typeface="微软雅黑" panose="020B0503020204020204" pitchFamily="34" charset="-122"/>
            </a:rPr>
            <a:t>日</a:t>
          </a:r>
        </a:p>
      </dsp:txBody>
      <dsp:txXfrm rot="-5400000">
        <a:off x="2" y="924687"/>
        <a:ext cx="539213" cy="231092"/>
      </dsp:txXfrm>
    </dsp:sp>
    <dsp:sp modelId="{FE8FD4CF-F08D-4ED4-902B-2DB65044BC51}">
      <dsp:nvSpPr>
        <dsp:cNvPr id="0" name=""/>
        <dsp:cNvSpPr/>
      </dsp:nvSpPr>
      <dsp:spPr>
        <a:xfrm rot="5400000">
          <a:off x="3121971" y="-1926938"/>
          <a:ext cx="499221" cy="566473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125000"/>
            </a:lnSpc>
            <a:spcBef>
              <a:spcPct val="0"/>
            </a:spcBef>
            <a:spcAft>
              <a:spcPct val="15000"/>
            </a:spcAft>
            <a:buChar char="•"/>
          </a:pPr>
          <a:r>
            <a:rPr lang="zh-CN" altLang="en-US" sz="1000" kern="1200">
              <a:latin typeface="楷体" panose="02010609060101010101" pitchFamily="49" charset="-122"/>
              <a:ea typeface="楷体" panose="02010609060101010101" pitchFamily="49" charset="-122"/>
            </a:rPr>
            <a:t>周二，</a:t>
          </a:r>
          <a:r>
            <a:rPr lang="zh-CN" altLang="en-US" sz="1000" b="0" i="0" kern="1200">
              <a:latin typeface="楷体" panose="02010609060101010101" pitchFamily="49" charset="-122"/>
              <a:ea typeface="楷体" panose="02010609060101010101" pitchFamily="49" charset="-122"/>
            </a:rPr>
            <a:t>随着全球主要股指企稳反弹，市场恐慌情绪逐渐消退，</a:t>
          </a:r>
          <a:r>
            <a:rPr lang="en-US" altLang="zh-CN" sz="1000" b="0" i="0" kern="1200">
              <a:latin typeface="楷体" panose="02010609060101010101" pitchFamily="49" charset="-122"/>
              <a:ea typeface="楷体" panose="02010609060101010101" pitchFamily="49" charset="-122"/>
            </a:rPr>
            <a:t>10</a:t>
          </a:r>
          <a:r>
            <a:rPr lang="zh-CN" altLang="en-US" sz="1000" b="0" i="0" kern="1200">
              <a:latin typeface="楷体" panose="02010609060101010101" pitchFamily="49" charset="-122"/>
              <a:ea typeface="楷体" panose="02010609060101010101" pitchFamily="49" charset="-122"/>
            </a:rPr>
            <a:t>年期美债收益率小幅上行</a:t>
          </a:r>
          <a:r>
            <a:rPr lang="en-US" altLang="zh-CN" sz="1000" b="0" i="0" kern="1200">
              <a:latin typeface="楷体" panose="02010609060101010101" pitchFamily="49" charset="-122"/>
              <a:ea typeface="楷体" panose="02010609060101010101" pitchFamily="49" charset="-122"/>
            </a:rPr>
            <a:t>2bp</a:t>
          </a:r>
          <a:r>
            <a:rPr lang="zh-CN" altLang="en-US" sz="1000" b="0" i="0" kern="1200">
              <a:latin typeface="楷体" panose="02010609060101010101" pitchFamily="49" charset="-122"/>
              <a:ea typeface="楷体" panose="02010609060101010101" pitchFamily="49" charset="-122"/>
            </a:rPr>
            <a:t>至</a:t>
          </a:r>
          <a:r>
            <a:rPr lang="en-US" altLang="zh-CN" sz="1000" b="0" i="0" kern="1200">
              <a:latin typeface="楷体" panose="02010609060101010101" pitchFamily="49" charset="-122"/>
              <a:ea typeface="楷体" panose="02010609060101010101" pitchFamily="49" charset="-122"/>
            </a:rPr>
            <a:t>1.33%</a:t>
          </a:r>
          <a:r>
            <a:rPr lang="zh-CN" altLang="en-US" sz="1000" kern="1200">
              <a:latin typeface="楷体" panose="02010609060101010101" pitchFamily="49" charset="-122"/>
              <a:ea typeface="楷体" panose="02010609060101010101" pitchFamily="49" charset="-122"/>
            </a:rPr>
            <a:t>。</a:t>
          </a:r>
        </a:p>
      </dsp:txBody>
      <dsp:txXfrm rot="-5400000">
        <a:off x="539214" y="680189"/>
        <a:ext cx="5640366" cy="450481"/>
      </dsp:txXfrm>
    </dsp:sp>
    <dsp:sp modelId="{47D1BBB4-57E1-4E1C-B8EC-4D33E7BF63B4}">
      <dsp:nvSpPr>
        <dsp:cNvPr id="0" name=""/>
        <dsp:cNvSpPr/>
      </dsp:nvSpPr>
      <dsp:spPr>
        <a:xfrm rot="5400000">
          <a:off x="-115545" y="1479496"/>
          <a:ext cx="770305" cy="53921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altLang="zh-CN" sz="800" kern="1200">
              <a:latin typeface="微软雅黑" panose="020B0503020204020204" pitchFamily="34" charset="-122"/>
              <a:ea typeface="微软雅黑" panose="020B0503020204020204" pitchFamily="34" charset="-122"/>
            </a:rPr>
            <a:t>9</a:t>
          </a:r>
          <a:r>
            <a:rPr lang="zh-CN" altLang="en-US" sz="800" kern="1200">
              <a:latin typeface="微软雅黑" panose="020B0503020204020204" pitchFamily="34" charset="-122"/>
              <a:ea typeface="微软雅黑" panose="020B0503020204020204" pitchFamily="34" charset="-122"/>
            </a:rPr>
            <a:t>月</a:t>
          </a:r>
          <a:r>
            <a:rPr lang="en-US" altLang="zh-CN" sz="800" kern="1200">
              <a:latin typeface="微软雅黑" panose="020B0503020204020204" pitchFamily="34" charset="-122"/>
              <a:ea typeface="微软雅黑" panose="020B0503020204020204" pitchFamily="34" charset="-122"/>
            </a:rPr>
            <a:t>22</a:t>
          </a:r>
          <a:r>
            <a:rPr lang="zh-CN" altLang="en-US" sz="800" kern="1200">
              <a:latin typeface="微软雅黑" panose="020B0503020204020204" pitchFamily="34" charset="-122"/>
              <a:ea typeface="微软雅黑" panose="020B0503020204020204" pitchFamily="34" charset="-122"/>
            </a:rPr>
            <a:t>日</a:t>
          </a:r>
        </a:p>
      </dsp:txBody>
      <dsp:txXfrm rot="-5400000">
        <a:off x="2" y="1633557"/>
        <a:ext cx="539213" cy="231092"/>
      </dsp:txXfrm>
    </dsp:sp>
    <dsp:sp modelId="{52D057D2-FFE2-4170-92BB-B1AC028F79B4}">
      <dsp:nvSpPr>
        <dsp:cNvPr id="0" name=""/>
        <dsp:cNvSpPr/>
      </dsp:nvSpPr>
      <dsp:spPr>
        <a:xfrm rot="5400000">
          <a:off x="3064818" y="-1224868"/>
          <a:ext cx="613525" cy="566473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125000"/>
            </a:lnSpc>
            <a:spcBef>
              <a:spcPct val="0"/>
            </a:spcBef>
            <a:spcAft>
              <a:spcPct val="15000"/>
            </a:spcAft>
            <a:buChar char="•"/>
          </a:pPr>
          <a:r>
            <a:rPr lang="zh-CN" altLang="en-US" sz="1000" kern="1200">
              <a:latin typeface="楷体" panose="02010609060101010101" pitchFamily="49" charset="-122"/>
              <a:ea typeface="楷体" panose="02010609060101010101" pitchFamily="49" charset="-122"/>
            </a:rPr>
            <a:t>周三，美联储公布</a:t>
          </a:r>
          <a:r>
            <a:rPr lang="en-US" altLang="zh-CN" sz="1000" kern="1200">
              <a:latin typeface="楷体" panose="02010609060101010101" pitchFamily="49" charset="-122"/>
              <a:ea typeface="楷体" panose="02010609060101010101" pitchFamily="49" charset="-122"/>
            </a:rPr>
            <a:t>9</a:t>
          </a:r>
          <a:r>
            <a:rPr lang="zh-CN" altLang="en-US" sz="1000" kern="1200">
              <a:latin typeface="楷体" panose="02010609060101010101" pitchFamily="49" charset="-122"/>
              <a:ea typeface="楷体" panose="02010609060101010101" pitchFamily="49" charset="-122"/>
            </a:rPr>
            <a:t>月议息会议声明，显示缩减购债“即将进行”，同时点阵图显示加息预期有所提前，整体符合市场预期，美债收益率盘中下行，但会后鲍威尔发言偏鹰令美债收益率有所回升，</a:t>
          </a:r>
          <a:r>
            <a:rPr lang="en-US" altLang="en-US" sz="1000" b="0" kern="1200">
              <a:solidFill>
                <a:sysClr val="windowText" lastClr="000000"/>
              </a:solidFill>
              <a:latin typeface="KaiTi" panose="02010609060101010101" pitchFamily="49" charset="-122"/>
              <a:ea typeface="KaiTi" panose="02010609060101010101" pitchFamily="49" charset="-122"/>
            </a:rPr>
            <a:t>1</a:t>
          </a:r>
          <a:r>
            <a:rPr lang="en-US" altLang="en-US" sz="1000" kern="1200">
              <a:solidFill>
                <a:sysClr val="windowText" lastClr="000000"/>
              </a:solidFill>
              <a:latin typeface="楷体" panose="02010609060101010101" pitchFamily="49" charset="-122"/>
              <a:ea typeface="楷体" panose="02010609060101010101" pitchFamily="49" charset="-122"/>
            </a:rPr>
            <a:t>0</a:t>
          </a:r>
          <a:r>
            <a:rPr lang="zh-CN" altLang="en-US" sz="1000" kern="1200">
              <a:solidFill>
                <a:sysClr val="windowText" lastClr="000000"/>
              </a:solidFill>
              <a:latin typeface="楷体" panose="02010609060101010101" pitchFamily="49" charset="-122"/>
              <a:ea typeface="楷体" panose="02010609060101010101" pitchFamily="49" charset="-122"/>
            </a:rPr>
            <a:t>年期美债收益率先降后升，整体小幅下行</a:t>
          </a:r>
          <a:r>
            <a:rPr lang="en-US" altLang="zh-CN" sz="1000" kern="1200">
              <a:solidFill>
                <a:sysClr val="windowText" lastClr="000000"/>
              </a:solidFill>
              <a:latin typeface="楷体" panose="02010609060101010101" pitchFamily="49" charset="-122"/>
              <a:ea typeface="楷体" panose="02010609060101010101" pitchFamily="49" charset="-122"/>
            </a:rPr>
            <a:t>1</a:t>
          </a:r>
          <a:r>
            <a:rPr lang="en-US" altLang="en-US" sz="1000" kern="1200">
              <a:solidFill>
                <a:sysClr val="windowText" lastClr="000000"/>
              </a:solidFill>
              <a:latin typeface="楷体" panose="02010609060101010101" pitchFamily="49" charset="-122"/>
              <a:ea typeface="楷体" panose="02010609060101010101" pitchFamily="49" charset="-122"/>
            </a:rPr>
            <a:t>bp</a:t>
          </a:r>
          <a:r>
            <a:rPr lang="zh-CN" altLang="en-US" sz="1000" kern="1200">
              <a:solidFill>
                <a:sysClr val="windowText" lastClr="000000"/>
              </a:solidFill>
              <a:latin typeface="楷体" panose="02010609060101010101" pitchFamily="49" charset="-122"/>
              <a:ea typeface="楷体" panose="02010609060101010101" pitchFamily="49" charset="-122"/>
            </a:rPr>
            <a:t>至</a:t>
          </a:r>
          <a:r>
            <a:rPr lang="en-US" altLang="en-US" sz="1000" kern="1200">
              <a:latin typeface="楷体" panose="02010609060101010101" pitchFamily="49" charset="-122"/>
              <a:ea typeface="楷体" panose="02010609060101010101" pitchFamily="49" charset="-122"/>
            </a:rPr>
            <a:t>1.32%</a:t>
          </a:r>
          <a:r>
            <a:rPr lang="zh-CN" altLang="en-US" sz="1000" kern="1200">
              <a:latin typeface="楷体" panose="02010609060101010101" pitchFamily="49" charset="-122"/>
              <a:ea typeface="楷体" panose="02010609060101010101" pitchFamily="49" charset="-122"/>
            </a:rPr>
            <a:t>。</a:t>
          </a:r>
        </a:p>
      </dsp:txBody>
      <dsp:txXfrm rot="-5400000">
        <a:off x="539213" y="1330687"/>
        <a:ext cx="5634786" cy="553625"/>
      </dsp:txXfrm>
    </dsp:sp>
    <dsp:sp modelId="{A08686C8-6AE9-4347-AE4B-4998F3E4E49E}">
      <dsp:nvSpPr>
        <dsp:cNvPr id="0" name=""/>
        <dsp:cNvSpPr/>
      </dsp:nvSpPr>
      <dsp:spPr>
        <a:xfrm rot="5400000">
          <a:off x="-115545" y="2191549"/>
          <a:ext cx="770305" cy="53921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altLang="zh-CN" sz="800" kern="1200">
              <a:latin typeface="微软雅黑" panose="020B0503020204020204" pitchFamily="34" charset="-122"/>
              <a:ea typeface="微软雅黑" panose="020B0503020204020204" pitchFamily="34" charset="-122"/>
            </a:rPr>
            <a:t>9</a:t>
          </a:r>
          <a:r>
            <a:rPr lang="zh-CN" altLang="en-US" sz="800" kern="1200">
              <a:latin typeface="微软雅黑" panose="020B0503020204020204" pitchFamily="34" charset="-122"/>
              <a:ea typeface="微软雅黑" panose="020B0503020204020204" pitchFamily="34" charset="-122"/>
            </a:rPr>
            <a:t>月</a:t>
          </a:r>
          <a:r>
            <a:rPr lang="en-US" altLang="zh-CN" sz="800" kern="1200">
              <a:latin typeface="微软雅黑" panose="020B0503020204020204" pitchFamily="34" charset="-122"/>
              <a:ea typeface="微软雅黑" panose="020B0503020204020204" pitchFamily="34" charset="-122"/>
            </a:rPr>
            <a:t>23</a:t>
          </a:r>
          <a:r>
            <a:rPr lang="zh-CN" altLang="en-US" sz="800" kern="1200">
              <a:latin typeface="微软雅黑" panose="020B0503020204020204" pitchFamily="34" charset="-122"/>
              <a:ea typeface="微软雅黑" panose="020B0503020204020204" pitchFamily="34" charset="-122"/>
            </a:rPr>
            <a:t>日</a:t>
          </a:r>
        </a:p>
      </dsp:txBody>
      <dsp:txXfrm rot="-5400000">
        <a:off x="2" y="2345610"/>
        <a:ext cx="539213" cy="231092"/>
      </dsp:txXfrm>
    </dsp:sp>
    <dsp:sp modelId="{68220527-4DFD-4467-92AE-075472CB4626}">
      <dsp:nvSpPr>
        <dsp:cNvPr id="0" name=""/>
        <dsp:cNvSpPr/>
      </dsp:nvSpPr>
      <dsp:spPr>
        <a:xfrm rot="5400000">
          <a:off x="3054553" y="-497262"/>
          <a:ext cx="619894" cy="566473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125000"/>
            </a:lnSpc>
            <a:spcBef>
              <a:spcPct val="0"/>
            </a:spcBef>
            <a:spcAft>
              <a:spcPct val="15000"/>
            </a:spcAft>
            <a:buChar char="•"/>
          </a:pPr>
          <a:r>
            <a:rPr lang="zh-CN" altLang="en-US" sz="1000" kern="1200">
              <a:latin typeface="楷体" panose="02010609060101010101" pitchFamily="49" charset="-122"/>
              <a:ea typeface="楷体" panose="02010609060101010101" pitchFamily="49" charset="-122"/>
            </a:rPr>
            <a:t>周四，</a:t>
          </a:r>
          <a:r>
            <a:rPr lang="zh-CN" altLang="en-US" sz="1000" b="0" i="0" kern="1200">
              <a:latin typeface="KaiTi" panose="02010609060101010101" pitchFamily="49" charset="-122"/>
              <a:ea typeface="KaiTi" panose="02010609060101010101" pitchFamily="49" charset="-122"/>
            </a:rPr>
            <a:t>美国参议院多数党领袖宣布白宫与参众两院就后续财政计划的支付方案达成一致，叠加</a:t>
          </a:r>
          <a:r>
            <a:rPr lang="zh-CN" altLang="en-US" sz="1000" b="0" i="0" kern="1200">
              <a:latin typeface="楷体" panose="02010609060101010101" pitchFamily="49" charset="-122"/>
              <a:ea typeface="楷体" panose="02010609060101010101" pitchFamily="49" charset="-122"/>
            </a:rPr>
            <a:t>英国央行</a:t>
          </a:r>
          <a:r>
            <a:rPr lang="en-US" altLang="zh-CN" sz="1000" b="0" i="0" kern="1200">
              <a:latin typeface="楷体" panose="02010609060101010101" pitchFamily="49" charset="-122"/>
              <a:ea typeface="楷体" panose="02010609060101010101" pitchFamily="49" charset="-122"/>
            </a:rPr>
            <a:t>9</a:t>
          </a:r>
          <a:r>
            <a:rPr lang="zh-CN" altLang="en-US" sz="1000" b="0" i="0" kern="1200">
              <a:latin typeface="楷体" panose="02010609060101010101" pitchFamily="49" charset="-122"/>
              <a:ea typeface="楷体" panose="02010609060101010101" pitchFamily="49" charset="-122"/>
            </a:rPr>
            <a:t>月会议暗示收紧步伐可能提前，令英国国债收益率大幅飙升，利率联动效应导致美债收益率被动跟随上行，</a:t>
          </a:r>
          <a:r>
            <a:rPr lang="en-US" altLang="en-US" sz="1000" kern="1200">
              <a:latin typeface="楷体" panose="02010609060101010101" pitchFamily="49" charset="-122"/>
              <a:ea typeface="楷体" panose="02010609060101010101" pitchFamily="49" charset="-122"/>
            </a:rPr>
            <a:t>10</a:t>
          </a:r>
          <a:r>
            <a:rPr lang="zh-CN" altLang="en-US" sz="1000" kern="1200">
              <a:latin typeface="楷体" panose="02010609060101010101" pitchFamily="49" charset="-122"/>
              <a:ea typeface="楷体" panose="02010609060101010101" pitchFamily="49" charset="-122"/>
            </a:rPr>
            <a:t>年期美债收益率飙升</a:t>
          </a:r>
          <a:r>
            <a:rPr lang="en-US" altLang="zh-CN" sz="1000" kern="1200">
              <a:latin typeface="楷体" panose="02010609060101010101" pitchFamily="49" charset="-122"/>
              <a:ea typeface="楷体" panose="02010609060101010101" pitchFamily="49" charset="-122"/>
            </a:rPr>
            <a:t>9</a:t>
          </a:r>
          <a:r>
            <a:rPr lang="en-US" altLang="en-US" sz="1000" kern="1200">
              <a:latin typeface="楷体" panose="02010609060101010101" pitchFamily="49" charset="-122"/>
              <a:ea typeface="楷体" panose="02010609060101010101" pitchFamily="49" charset="-122"/>
            </a:rPr>
            <a:t>bp</a:t>
          </a:r>
          <a:r>
            <a:rPr lang="zh-CN" altLang="en-US" sz="1000" kern="1200">
              <a:latin typeface="楷体" panose="02010609060101010101" pitchFamily="49" charset="-122"/>
              <a:ea typeface="楷体" panose="02010609060101010101" pitchFamily="49" charset="-122"/>
            </a:rPr>
            <a:t>至</a:t>
          </a:r>
          <a:r>
            <a:rPr lang="en-US" altLang="zh-CN" sz="1000" kern="1200">
              <a:latin typeface="楷体" panose="02010609060101010101" pitchFamily="49" charset="-122"/>
              <a:ea typeface="楷体" panose="02010609060101010101" pitchFamily="49" charset="-122"/>
            </a:rPr>
            <a:t>1.41</a:t>
          </a:r>
          <a:r>
            <a:rPr lang="en-US" altLang="en-US" sz="1000" kern="1200">
              <a:latin typeface="楷体" panose="02010609060101010101" pitchFamily="49" charset="-122"/>
              <a:ea typeface="楷体" panose="02010609060101010101" pitchFamily="49" charset="-122"/>
            </a:rPr>
            <a:t>%</a:t>
          </a:r>
          <a:r>
            <a:rPr lang="zh-CN" altLang="en-US" sz="1000" kern="1200">
              <a:latin typeface="楷体" panose="02010609060101010101" pitchFamily="49" charset="-122"/>
              <a:ea typeface="楷体" panose="02010609060101010101" pitchFamily="49" charset="-122"/>
            </a:rPr>
            <a:t>。</a:t>
          </a:r>
        </a:p>
      </dsp:txBody>
      <dsp:txXfrm rot="-5400000">
        <a:off x="532133" y="2055419"/>
        <a:ext cx="5634475" cy="559372"/>
      </dsp:txXfrm>
    </dsp:sp>
    <dsp:sp modelId="{CE239837-127F-4D1E-B33D-3DC0C4EF7459}">
      <dsp:nvSpPr>
        <dsp:cNvPr id="0" name=""/>
        <dsp:cNvSpPr/>
      </dsp:nvSpPr>
      <dsp:spPr>
        <a:xfrm rot="5400000">
          <a:off x="-115545" y="2844005"/>
          <a:ext cx="770305" cy="53921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altLang="zh-CN" sz="800" kern="1200">
              <a:latin typeface="微软雅黑" panose="020B0503020204020204" pitchFamily="34" charset="-122"/>
              <a:ea typeface="微软雅黑" panose="020B0503020204020204" pitchFamily="34" charset="-122"/>
            </a:rPr>
            <a:t>9</a:t>
          </a:r>
          <a:r>
            <a:rPr lang="zh-CN" altLang="en-US" sz="800" kern="1200">
              <a:latin typeface="微软雅黑" panose="020B0503020204020204" pitchFamily="34" charset="-122"/>
              <a:ea typeface="微软雅黑" panose="020B0503020204020204" pitchFamily="34" charset="-122"/>
            </a:rPr>
            <a:t>月</a:t>
          </a:r>
          <a:r>
            <a:rPr lang="en-US" altLang="zh-CN" sz="800" kern="1200">
              <a:latin typeface="微软雅黑" panose="020B0503020204020204" pitchFamily="34" charset="-122"/>
              <a:ea typeface="微软雅黑" panose="020B0503020204020204" pitchFamily="34" charset="-122"/>
            </a:rPr>
            <a:t>24</a:t>
          </a:r>
          <a:r>
            <a:rPr lang="zh-CN" altLang="en-US" sz="800" kern="1200">
              <a:latin typeface="微软雅黑" panose="020B0503020204020204" pitchFamily="34" charset="-122"/>
              <a:ea typeface="微软雅黑" panose="020B0503020204020204" pitchFamily="34" charset="-122"/>
            </a:rPr>
            <a:t>日</a:t>
          </a:r>
        </a:p>
      </dsp:txBody>
      <dsp:txXfrm rot="-5400000">
        <a:off x="2" y="2998066"/>
        <a:ext cx="539213" cy="231092"/>
      </dsp:txXfrm>
    </dsp:sp>
    <dsp:sp modelId="{1A280799-04A4-4B6A-B81B-45A65C2E7835}">
      <dsp:nvSpPr>
        <dsp:cNvPr id="0" name=""/>
        <dsp:cNvSpPr/>
      </dsp:nvSpPr>
      <dsp:spPr>
        <a:xfrm rot="5400000">
          <a:off x="3121232" y="146440"/>
          <a:ext cx="500698" cy="566473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125000"/>
            </a:lnSpc>
            <a:spcBef>
              <a:spcPct val="0"/>
            </a:spcBef>
            <a:spcAft>
              <a:spcPct val="15000"/>
            </a:spcAft>
            <a:buChar char="•"/>
          </a:pPr>
          <a:r>
            <a:rPr lang="zh-CN" altLang="en-US" sz="1000" kern="1200">
              <a:latin typeface="楷体" panose="02010609060101010101" pitchFamily="49" charset="-122"/>
              <a:ea typeface="楷体" panose="02010609060101010101" pitchFamily="49" charset="-122"/>
            </a:rPr>
            <a:t>周五，关于暂停债务上限以及财政刺激的乐观预期持续升温，</a:t>
          </a:r>
          <a:r>
            <a:rPr lang="en-US" altLang="en-US" sz="1000" kern="1200">
              <a:latin typeface="楷体" panose="02010609060101010101" pitchFamily="49" charset="-122"/>
              <a:ea typeface="楷体" panose="02010609060101010101" pitchFamily="49" charset="-122"/>
            </a:rPr>
            <a:t>10</a:t>
          </a:r>
          <a:r>
            <a:rPr lang="zh-CN" altLang="en-US" sz="1000" kern="1200">
              <a:latin typeface="楷体" panose="02010609060101010101" pitchFamily="49" charset="-122"/>
              <a:ea typeface="楷体" panose="02010609060101010101" pitchFamily="49" charset="-122"/>
            </a:rPr>
            <a:t>年期美债收益率继续上行</a:t>
          </a:r>
          <a:r>
            <a:rPr lang="en-US" altLang="zh-CN" sz="1000" kern="1200">
              <a:latin typeface="楷体" panose="02010609060101010101" pitchFamily="49" charset="-122"/>
              <a:ea typeface="楷体" panose="02010609060101010101" pitchFamily="49" charset="-122"/>
            </a:rPr>
            <a:t>6bp</a:t>
          </a:r>
          <a:r>
            <a:rPr lang="zh-CN" altLang="en-US" sz="1000" kern="1200">
              <a:latin typeface="楷体" panose="02010609060101010101" pitchFamily="49" charset="-122"/>
              <a:ea typeface="楷体" panose="02010609060101010101" pitchFamily="49" charset="-122"/>
            </a:rPr>
            <a:t>至</a:t>
          </a:r>
          <a:r>
            <a:rPr lang="en-US" altLang="en-US" sz="1000" kern="1200">
              <a:latin typeface="楷体" panose="02010609060101010101" pitchFamily="49" charset="-122"/>
              <a:ea typeface="楷体" panose="02010609060101010101" pitchFamily="49" charset="-122"/>
            </a:rPr>
            <a:t>1.47%</a:t>
          </a:r>
          <a:r>
            <a:rPr lang="zh-CN" altLang="en-US" sz="1000" kern="1200">
              <a:latin typeface="楷体" panose="02010609060101010101" pitchFamily="49" charset="-122"/>
              <a:ea typeface="楷体" panose="02010609060101010101" pitchFamily="49" charset="-122"/>
            </a:rPr>
            <a:t>。</a:t>
          </a:r>
        </a:p>
      </dsp:txBody>
      <dsp:txXfrm rot="-5400000">
        <a:off x="539213" y="2752901"/>
        <a:ext cx="5640294" cy="45181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type="chevron" r:blip="" rot="90">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type="round2SameRect" r:blip="" rot="90">
                <dgm:adjLst/>
              </dgm:shape>
            </dgm:if>
            <dgm:else name="Name6">
              <dgm:alg type="tx">
                <dgm:param type="stBulletLvl" val="1"/>
                <dgm:param type="txAnchorVertCh" val="mid"/>
              </dgm:alg>
              <dgm:shape xmlns:r="http://schemas.openxmlformats.org/officeDocument/2006/relationships" type="round2SameRect" r:blip="" rot="-90">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02DCB6-461C-428D-A5B0-DDAA9B984148}">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Words>
  <Characters>118</Characters>
  <Lines>1</Lines>
  <Paragraphs>1</Paragraphs>
  <TotalTime>0</TotalTime>
  <ScaleCrop>false</ScaleCrop>
  <LinksUpToDate>false</LinksUpToDate>
  <CharactersWithSpaces>137</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2021-08-08T23:31:00Z</dcterms:created>
  <dc:creator>冯 琳</dc:creator>
  <cp:lastModifiedBy>何星</cp:lastModifiedBy>
  <cp:lastPrinted>2021-08-15T15:35:00Z</cp:lastPrinted>
  <dcterms:modified xsi:type="dcterms:W3CDTF">2021-09-28T01:48:22Z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