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781" w:type="dxa"/>
        <w:tblInd w:w="108" w:type="dxa"/>
        <w:tblLook w:val="04A0" w:firstRow="1" w:lastRow="0" w:firstColumn="1" w:lastColumn="0" w:noHBand="0" w:noVBand="1"/>
      </w:tblPr>
      <w:tblGrid>
        <w:gridCol w:w="9781"/>
      </w:tblGrid>
      <w:tr w:rsidR="005810C8" w:rsidRPr="000244C1" w:rsidTr="006E68A4">
        <w:trPr>
          <w:trHeight w:val="1124"/>
        </w:trPr>
        <w:tc>
          <w:tcPr>
            <w:tcW w:w="978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vAlign w:val="center"/>
          </w:tcPr>
          <w:p w:rsidR="005810C8" w:rsidRPr="000244C1" w:rsidRDefault="00491DB0" w:rsidP="005017BB">
            <w:pPr>
              <w:spacing w:beforeLines="50" w:before="156" w:afterLines="50" w:after="156"/>
              <w:jc w:val="center"/>
              <w:rPr>
                <w:rFonts w:ascii="微软雅黑" w:eastAsia="微软雅黑" w:hAnsi="微软雅黑"/>
                <w:b/>
                <w:bCs/>
                <w:sz w:val="28"/>
                <w:szCs w:val="28"/>
              </w:rPr>
            </w:pPr>
            <w:r w:rsidRPr="00491DB0">
              <w:rPr>
                <w:rFonts w:ascii="微软雅黑" w:eastAsia="微软雅黑" w:hAnsi="微软雅黑"/>
                <w:b/>
                <w:bCs/>
                <w:color w:val="FFFFFF" w:themeColor="background1"/>
                <w:sz w:val="28"/>
                <w:szCs w:val="28"/>
              </w:rPr>
              <w:t>2月PMI意外反弹，价格压力有所加大</w:t>
            </w:r>
          </w:p>
        </w:tc>
      </w:tr>
      <w:tr w:rsidR="005810C8" w:rsidRPr="000244C1" w:rsidTr="00371DFB">
        <w:trPr>
          <w:trHeight w:val="1272"/>
        </w:trPr>
        <w:tc>
          <w:tcPr>
            <w:tcW w:w="978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5810C8" w:rsidRDefault="005810C8" w:rsidP="008961BD">
            <w:pPr>
              <w:spacing w:beforeLines="50" w:before="156" w:afterLines="50" w:after="156"/>
              <w:jc w:val="right"/>
              <w:rPr>
                <w:rFonts w:ascii="黑体" w:eastAsia="黑体" w:hAnsi="黑体"/>
                <w:b/>
                <w:bCs/>
                <w:color w:val="2F5496" w:themeColor="accent1" w:themeShade="BF"/>
                <w:sz w:val="24"/>
                <w:szCs w:val="28"/>
              </w:rPr>
            </w:pPr>
            <w:r w:rsidRPr="000244C1">
              <w:rPr>
                <w:rFonts w:ascii="黑体" w:eastAsia="黑体" w:hAnsi="黑体" w:hint="eastAsia"/>
                <w:b/>
                <w:bCs/>
                <w:color w:val="2F5496" w:themeColor="accent1" w:themeShade="BF"/>
                <w:sz w:val="24"/>
                <w:szCs w:val="28"/>
              </w:rPr>
              <w:t>——</w:t>
            </w:r>
            <w:proofErr w:type="gramStart"/>
            <w:r w:rsidR="0069381B" w:rsidRPr="0069381B">
              <w:rPr>
                <w:rFonts w:ascii="黑体" w:eastAsia="黑体" w:hAnsi="黑体" w:hint="eastAsia"/>
                <w:b/>
                <w:bCs/>
                <w:color w:val="2F5496" w:themeColor="accent1" w:themeShade="BF"/>
                <w:sz w:val="24"/>
                <w:szCs w:val="28"/>
              </w:rPr>
              <w:t>——</w:t>
            </w:r>
            <w:proofErr w:type="gramEnd"/>
            <w:r w:rsidR="0069381B">
              <w:rPr>
                <w:rFonts w:ascii="黑体" w:eastAsia="黑体" w:hAnsi="黑体" w:hint="eastAsia"/>
                <w:b/>
                <w:bCs/>
                <w:color w:val="2F5496" w:themeColor="accent1" w:themeShade="BF"/>
                <w:sz w:val="24"/>
                <w:szCs w:val="28"/>
              </w:rPr>
              <w:t xml:space="preserve"> </w:t>
            </w:r>
            <w:r w:rsidR="00AE3731" w:rsidRPr="00AE3731">
              <w:rPr>
                <w:rFonts w:ascii="黑体" w:eastAsia="黑体" w:hAnsi="黑体"/>
                <w:b/>
                <w:bCs/>
                <w:color w:val="2F5496" w:themeColor="accent1" w:themeShade="BF"/>
                <w:sz w:val="24"/>
                <w:szCs w:val="28"/>
              </w:rPr>
              <w:t>202</w:t>
            </w:r>
            <w:r w:rsidR="00B57883">
              <w:rPr>
                <w:rFonts w:ascii="黑体" w:eastAsia="黑体" w:hAnsi="黑体" w:hint="eastAsia"/>
                <w:b/>
                <w:bCs/>
                <w:color w:val="2F5496" w:themeColor="accent1" w:themeShade="BF"/>
                <w:sz w:val="24"/>
                <w:szCs w:val="28"/>
              </w:rPr>
              <w:t>2</w:t>
            </w:r>
            <w:r w:rsidR="00AE3731" w:rsidRPr="00AE3731">
              <w:rPr>
                <w:rFonts w:ascii="黑体" w:eastAsia="黑体" w:hAnsi="黑体"/>
                <w:b/>
                <w:bCs/>
                <w:color w:val="2F5496" w:themeColor="accent1" w:themeShade="BF"/>
                <w:sz w:val="24"/>
                <w:szCs w:val="28"/>
              </w:rPr>
              <w:t>年</w:t>
            </w:r>
            <w:r w:rsidR="00491DB0">
              <w:rPr>
                <w:rFonts w:ascii="黑体" w:eastAsia="黑体" w:hAnsi="黑体"/>
                <w:b/>
                <w:bCs/>
                <w:color w:val="2F5496" w:themeColor="accent1" w:themeShade="BF"/>
                <w:sz w:val="24"/>
                <w:szCs w:val="28"/>
              </w:rPr>
              <w:t>2</w:t>
            </w:r>
            <w:r w:rsidR="00AE3731" w:rsidRPr="00AE3731">
              <w:rPr>
                <w:rFonts w:ascii="黑体" w:eastAsia="黑体" w:hAnsi="黑体"/>
                <w:b/>
                <w:bCs/>
                <w:color w:val="2F5496" w:themeColor="accent1" w:themeShade="BF"/>
                <w:sz w:val="24"/>
                <w:szCs w:val="28"/>
              </w:rPr>
              <w:t>月</w:t>
            </w:r>
            <w:r w:rsidR="00491DB0">
              <w:rPr>
                <w:rFonts w:ascii="黑体" w:eastAsia="黑体" w:hAnsi="黑体" w:hint="eastAsia"/>
                <w:b/>
                <w:bCs/>
                <w:color w:val="2F5496" w:themeColor="accent1" w:themeShade="BF"/>
                <w:sz w:val="24"/>
                <w:szCs w:val="28"/>
              </w:rPr>
              <w:t>PMI</w:t>
            </w:r>
            <w:r w:rsidR="00AE3731" w:rsidRPr="00AE3731">
              <w:rPr>
                <w:rFonts w:ascii="黑体" w:eastAsia="黑体" w:hAnsi="黑体"/>
                <w:b/>
                <w:bCs/>
                <w:color w:val="2F5496" w:themeColor="accent1" w:themeShade="BF"/>
                <w:sz w:val="24"/>
                <w:szCs w:val="28"/>
              </w:rPr>
              <w:t>数据点评</w:t>
            </w:r>
          </w:p>
          <w:p w:rsidR="001B11A0" w:rsidRPr="000244C1" w:rsidRDefault="00716DCC" w:rsidP="00B21AC9">
            <w:pPr>
              <w:wordWrap w:val="0"/>
              <w:spacing w:beforeLines="100" w:before="312" w:afterLines="50" w:after="156"/>
              <w:jc w:val="right"/>
              <w:rPr>
                <w:rFonts w:ascii="黑体" w:eastAsia="黑体" w:hAnsi="黑体"/>
                <w:b/>
                <w:bCs/>
              </w:rPr>
            </w:pPr>
            <w:r>
              <w:rPr>
                <w:rFonts w:ascii="黑体" w:eastAsia="黑体" w:hAnsi="黑体" w:hint="eastAsia"/>
                <w:b/>
                <w:bCs/>
                <w:color w:val="2F5496" w:themeColor="accent1" w:themeShade="BF"/>
              </w:rPr>
              <w:t>首席宏观</w:t>
            </w:r>
            <w:r w:rsidR="00AE3731" w:rsidRPr="00AE3731">
              <w:rPr>
                <w:rFonts w:ascii="黑体" w:eastAsia="黑体" w:hAnsi="黑体" w:hint="eastAsia"/>
                <w:b/>
                <w:bCs/>
                <w:color w:val="2F5496" w:themeColor="accent1" w:themeShade="BF"/>
              </w:rPr>
              <w:t>分析师</w:t>
            </w:r>
            <w:r w:rsidR="00FA7C75">
              <w:rPr>
                <w:rFonts w:ascii="黑体" w:eastAsia="黑体" w:hAnsi="黑体" w:hint="eastAsia"/>
                <w:b/>
                <w:bCs/>
                <w:color w:val="2F5496" w:themeColor="accent1" w:themeShade="BF"/>
              </w:rPr>
              <w:t xml:space="preserve"> </w:t>
            </w:r>
            <w:r w:rsidR="00AE3731" w:rsidRPr="00AE3731">
              <w:rPr>
                <w:rFonts w:ascii="黑体" w:eastAsia="黑体" w:hAnsi="黑体"/>
                <w:b/>
                <w:bCs/>
                <w:color w:val="2F5496" w:themeColor="accent1" w:themeShade="BF"/>
              </w:rPr>
              <w:t xml:space="preserve">王青  </w:t>
            </w:r>
            <w:r>
              <w:rPr>
                <w:rFonts w:ascii="黑体" w:eastAsia="黑体" w:hAnsi="黑体" w:hint="eastAsia"/>
                <w:b/>
                <w:bCs/>
                <w:color w:val="2F5496" w:themeColor="accent1" w:themeShade="BF"/>
              </w:rPr>
              <w:t xml:space="preserve">高级分析师 </w:t>
            </w:r>
            <w:r w:rsidR="00AE3731" w:rsidRPr="00AE3731">
              <w:rPr>
                <w:rFonts w:ascii="黑体" w:eastAsia="黑体" w:hAnsi="黑体"/>
                <w:b/>
                <w:bCs/>
                <w:color w:val="2F5496" w:themeColor="accent1" w:themeShade="BF"/>
              </w:rPr>
              <w:t>冯琳</w:t>
            </w:r>
          </w:p>
        </w:tc>
      </w:tr>
    </w:tbl>
    <w:p w:rsidR="0069381B" w:rsidRPr="00AE3731" w:rsidRDefault="00AE3731" w:rsidP="00EC7B65">
      <w:pPr>
        <w:spacing w:beforeLines="150" w:before="468" w:line="360" w:lineRule="auto"/>
        <w:ind w:firstLineChars="200" w:firstLine="422"/>
        <w:rPr>
          <w:rFonts w:ascii="楷体" w:eastAsia="楷体" w:hAnsi="楷体"/>
        </w:rPr>
      </w:pPr>
      <w:r w:rsidRPr="00AE3731">
        <w:rPr>
          <w:rFonts w:ascii="楷体" w:eastAsia="楷体" w:hAnsi="楷体" w:hint="eastAsia"/>
          <w:b/>
          <w:bCs/>
          <w:color w:val="2F5496" w:themeColor="accent1" w:themeShade="BF"/>
        </w:rPr>
        <w:t>事件：</w:t>
      </w:r>
      <w:r w:rsidR="00491DB0" w:rsidRPr="00491DB0">
        <w:rPr>
          <w:rFonts w:ascii="楷体" w:eastAsia="楷体" w:hAnsi="楷体" w:hint="eastAsia"/>
        </w:rPr>
        <w:t>根据国家统计局数据，</w:t>
      </w:r>
      <w:r w:rsidR="00491DB0" w:rsidRPr="00491DB0">
        <w:rPr>
          <w:rFonts w:ascii="楷体" w:eastAsia="楷体" w:hAnsi="楷体"/>
        </w:rPr>
        <w:t>2月份，中国制造业采购经理指数（PMI）为50.2%，高于上月0.1个百分点，连续四个月处于扩张区间；2月份</w:t>
      </w:r>
      <w:r w:rsidR="008E3A77">
        <w:rPr>
          <w:rFonts w:ascii="楷体" w:eastAsia="楷体" w:hAnsi="楷体" w:hint="eastAsia"/>
        </w:rPr>
        <w:t>，</w:t>
      </w:r>
      <w:r w:rsidR="00491DB0" w:rsidRPr="00491DB0">
        <w:rPr>
          <w:rFonts w:ascii="楷体" w:eastAsia="楷体" w:hAnsi="楷体"/>
        </w:rPr>
        <w:t>非制造业商务活动指数为51.6%，高于上月0.5个百分点，景气水平回升</w:t>
      </w:r>
      <w:r w:rsidR="0069381B" w:rsidRPr="00AE3731">
        <w:rPr>
          <w:rFonts w:ascii="楷体" w:eastAsia="楷体" w:hAnsi="楷体" w:hint="eastAsia"/>
        </w:rPr>
        <w:t>。</w:t>
      </w:r>
    </w:p>
    <w:p w:rsidR="00EC7B65" w:rsidRDefault="008E3A77" w:rsidP="00EC7B65">
      <w:pPr>
        <w:spacing w:beforeLines="100" w:before="312" w:afterLines="50" w:after="156" w:line="360" w:lineRule="auto"/>
        <w:ind w:firstLineChars="200" w:firstLine="422"/>
        <w:rPr>
          <w:rFonts w:ascii="楷体" w:eastAsia="楷体" w:hAnsi="楷体"/>
          <w:b/>
          <w:bCs/>
          <w:color w:val="2F5496" w:themeColor="accent1" w:themeShade="BF"/>
        </w:rPr>
      </w:pPr>
      <w:r>
        <w:rPr>
          <w:rFonts w:ascii="楷体" w:eastAsia="楷体" w:hAnsi="楷体" w:hint="eastAsia"/>
          <w:b/>
          <w:bCs/>
          <w:color w:val="2F5496" w:themeColor="accent1" w:themeShade="BF"/>
        </w:rPr>
        <w:t>点评如下</w:t>
      </w:r>
      <w:r w:rsidR="00AE3731" w:rsidRPr="00AE3731">
        <w:rPr>
          <w:rFonts w:ascii="楷体" w:eastAsia="楷体" w:hAnsi="楷体" w:hint="eastAsia"/>
          <w:b/>
          <w:bCs/>
          <w:color w:val="2F5496" w:themeColor="accent1" w:themeShade="BF"/>
        </w:rPr>
        <w:t>：</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rPr>
        <w:t>2月制造业与非制造业PMI</w:t>
      </w:r>
      <w:proofErr w:type="gramStart"/>
      <w:r w:rsidRPr="008E3A77">
        <w:rPr>
          <w:rFonts w:ascii="楷体" w:eastAsia="楷体" w:hAnsi="楷体"/>
        </w:rPr>
        <w:t>指数均现反弹</w:t>
      </w:r>
      <w:proofErr w:type="gramEnd"/>
      <w:r w:rsidRPr="008E3A77">
        <w:rPr>
          <w:rFonts w:ascii="楷体" w:eastAsia="楷体" w:hAnsi="楷体"/>
        </w:rPr>
        <w:t>，超出市场普遍预期，主要源于需求走强。其中制造业新出口订单指数继续回升，显示年初外需拉动依然强劲；2月建筑业PMI指数高位上行，表明尽管当前楼市承压，但基建投资提速已经启动。值得注意的是，受俄</w:t>
      </w:r>
      <w:proofErr w:type="gramStart"/>
      <w:r w:rsidRPr="008E3A77">
        <w:rPr>
          <w:rFonts w:ascii="楷体" w:eastAsia="楷体" w:hAnsi="楷体"/>
        </w:rPr>
        <w:t>乌</w:t>
      </w:r>
      <w:r>
        <w:rPr>
          <w:rFonts w:ascii="楷体" w:eastAsia="楷体" w:hAnsi="楷体" w:hint="eastAsia"/>
        </w:rPr>
        <w:t>冲突</w:t>
      </w:r>
      <w:proofErr w:type="gramEnd"/>
      <w:r w:rsidRPr="008E3A77">
        <w:rPr>
          <w:rFonts w:ascii="楷体" w:eastAsia="楷体" w:hAnsi="楷体"/>
        </w:rPr>
        <w:t>推高原油等国际大宗商品价格影响，2月制造业PMI中的两项价格指数都在大幅上升；成本压力下，当月小型企业PMI指数低位下行。具体分析如下：</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hint="eastAsia"/>
        </w:rPr>
        <w:t>首先，由于</w:t>
      </w:r>
      <w:r w:rsidRPr="008E3A77">
        <w:rPr>
          <w:rFonts w:ascii="楷体" w:eastAsia="楷体" w:hAnsi="楷体"/>
        </w:rPr>
        <w:t>PMI</w:t>
      </w:r>
      <w:r>
        <w:rPr>
          <w:rFonts w:ascii="楷体" w:eastAsia="楷体" w:hAnsi="楷体" w:hint="eastAsia"/>
        </w:rPr>
        <w:t>指数</w:t>
      </w:r>
      <w:r w:rsidRPr="008E3A77">
        <w:rPr>
          <w:rFonts w:ascii="楷体" w:eastAsia="楷体" w:hAnsi="楷体"/>
        </w:rPr>
        <w:t>是环比指标，所以需要考虑季节性波动的影响。过去十年中，2月制造业PMI指数较前月“8降2升”，主要源于春节假期影响多在2月集中体现。不过</w:t>
      </w:r>
      <w:r>
        <w:rPr>
          <w:rFonts w:ascii="楷体" w:eastAsia="楷体" w:hAnsi="楷体" w:hint="eastAsia"/>
        </w:rPr>
        <w:t>，</w:t>
      </w:r>
      <w:r w:rsidRPr="008E3A77">
        <w:rPr>
          <w:rFonts w:ascii="楷体" w:eastAsia="楷体" w:hAnsi="楷体"/>
        </w:rPr>
        <w:t>今年2月制造业PMI指数较上月不降反升，上行0.1百分点至50.2%，明显超出季节性规律，显示制造业景气程度</w:t>
      </w:r>
      <w:r>
        <w:rPr>
          <w:rFonts w:ascii="楷体" w:eastAsia="楷体" w:hAnsi="楷体" w:hint="eastAsia"/>
        </w:rPr>
        <w:t>确实有所</w:t>
      </w:r>
      <w:r w:rsidRPr="008E3A77">
        <w:rPr>
          <w:rFonts w:ascii="楷体" w:eastAsia="楷体" w:hAnsi="楷体"/>
        </w:rPr>
        <w:t>回升，尽管绝对水平依然较低。</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hint="eastAsia"/>
        </w:rPr>
        <w:t>其次，从指数构成来看，此前“生产强、需求弱”的局面在</w:t>
      </w:r>
      <w:r w:rsidRPr="008E3A77">
        <w:rPr>
          <w:rFonts w:ascii="楷体" w:eastAsia="楷体" w:hAnsi="楷体"/>
        </w:rPr>
        <w:t>2月出现反转: 受春节假期影响，2月制造业PMI生产指数为50.4%，比上月下降0.5个百分点。不过，当月新订单指数为50.7%，比上月大幅上升1.4个百分点，重回扩张区间，表明节后制造业市场需求释放有所加快。分析具体原因，一方面</w:t>
      </w:r>
      <w:r>
        <w:rPr>
          <w:rFonts w:ascii="楷体" w:eastAsia="楷体" w:hAnsi="楷体" w:hint="eastAsia"/>
        </w:rPr>
        <w:t>，</w:t>
      </w:r>
      <w:r w:rsidRPr="008E3A77">
        <w:rPr>
          <w:rFonts w:ascii="楷体" w:eastAsia="楷体" w:hAnsi="楷体"/>
        </w:rPr>
        <w:t>过去十年该指数“5升5降”，因此2月新订单指数反弹并未显著超出季节性；另一方面，当月制造业PMI中的新出口订单指数大幅上升1.4个百分点，表明在新一轮境外疫情高峰下，我国出口</w:t>
      </w:r>
      <w:r>
        <w:rPr>
          <w:rFonts w:ascii="楷体" w:eastAsia="楷体" w:hAnsi="楷体" w:hint="eastAsia"/>
        </w:rPr>
        <w:t>仍</w:t>
      </w:r>
      <w:r w:rsidRPr="008E3A77">
        <w:rPr>
          <w:rFonts w:ascii="楷体" w:eastAsia="楷体" w:hAnsi="楷体"/>
        </w:rPr>
        <w:t>在延续强劲增长势头。我们预计，1-2月出口</w:t>
      </w:r>
      <w:r>
        <w:rPr>
          <w:rFonts w:ascii="楷体" w:eastAsia="楷体" w:hAnsi="楷体" w:hint="eastAsia"/>
        </w:rPr>
        <w:t>额</w:t>
      </w:r>
      <w:r w:rsidRPr="008E3A77">
        <w:rPr>
          <w:rFonts w:ascii="楷体" w:eastAsia="楷体" w:hAnsi="楷体"/>
        </w:rPr>
        <w:t>有望保持同</w:t>
      </w:r>
      <w:r w:rsidRPr="008E3A77">
        <w:rPr>
          <w:rFonts w:ascii="楷体" w:eastAsia="楷体" w:hAnsi="楷体" w:hint="eastAsia"/>
        </w:rPr>
        <w:t>比</w:t>
      </w:r>
      <w:r w:rsidRPr="008E3A77">
        <w:rPr>
          <w:rFonts w:ascii="楷体" w:eastAsia="楷体" w:hAnsi="楷体"/>
        </w:rPr>
        <w:t>13.0%</w:t>
      </w:r>
      <w:r>
        <w:rPr>
          <w:rFonts w:ascii="楷体" w:eastAsia="楷体" w:hAnsi="楷体" w:hint="eastAsia"/>
        </w:rPr>
        <w:t>左右</w:t>
      </w:r>
      <w:r w:rsidRPr="008E3A77">
        <w:rPr>
          <w:rFonts w:ascii="楷体" w:eastAsia="楷体" w:hAnsi="楷体"/>
        </w:rPr>
        <w:t>的高增长。最后，近期各地各部门稳定工业增长和部署基建投资提速的政策力度较大，也对制造业需求起到一定拉动作用。</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hint="eastAsia"/>
        </w:rPr>
        <w:t>第三，近期俄</w:t>
      </w:r>
      <w:proofErr w:type="gramStart"/>
      <w:r w:rsidRPr="008E3A77">
        <w:rPr>
          <w:rFonts w:ascii="楷体" w:eastAsia="楷体" w:hAnsi="楷体" w:hint="eastAsia"/>
        </w:rPr>
        <w:t>乌紧张</w:t>
      </w:r>
      <w:proofErr w:type="gramEnd"/>
      <w:r w:rsidRPr="008E3A77">
        <w:rPr>
          <w:rFonts w:ascii="楷体" w:eastAsia="楷体" w:hAnsi="楷体" w:hint="eastAsia"/>
        </w:rPr>
        <w:t>局势升级，并最终爆发大规模武装冲突，这直接导致以原油为代表的国际大宗商品价格冲高；同时，</w:t>
      </w:r>
      <w:r w:rsidRPr="008E3A77">
        <w:rPr>
          <w:rFonts w:ascii="楷体" w:eastAsia="楷体" w:hAnsi="楷体"/>
        </w:rPr>
        <w:t>2月国内煤炭和铁矿石价格上涨压力也在加大。由此，当月制造业PMI中的购进价格</w:t>
      </w:r>
      <w:r w:rsidRPr="008E3A77">
        <w:rPr>
          <w:rFonts w:ascii="楷体" w:eastAsia="楷体" w:hAnsi="楷体"/>
        </w:rPr>
        <w:lastRenderedPageBreak/>
        <w:t>指数大幅上升。</w:t>
      </w:r>
      <w:r>
        <w:rPr>
          <w:rFonts w:ascii="楷体" w:eastAsia="楷体" w:hAnsi="楷体" w:hint="eastAsia"/>
        </w:rPr>
        <w:t>另外，今年以来海外通胀高烧不退，我国出口商品继续涨价，2月制造业PMI</w:t>
      </w:r>
      <w:r w:rsidRPr="008E3A77">
        <w:rPr>
          <w:rFonts w:ascii="楷体" w:eastAsia="楷体" w:hAnsi="楷体" w:hint="eastAsia"/>
        </w:rPr>
        <w:t>出口价格指数</w:t>
      </w:r>
      <w:r>
        <w:rPr>
          <w:rFonts w:ascii="楷体" w:eastAsia="楷体" w:hAnsi="楷体" w:hint="eastAsia"/>
        </w:rPr>
        <w:t>也有明显上升。</w:t>
      </w:r>
      <w:r w:rsidRPr="008E3A77">
        <w:rPr>
          <w:rFonts w:ascii="楷体" w:eastAsia="楷体" w:hAnsi="楷体"/>
        </w:rPr>
        <w:t>从行业情况看，石油煤炭及其他燃料加工、有色金属冶炼及压延加工等行业两个价格指数均继续位于60.0%以上高位区间，相关行业原材料采购成本不断增加，产品销售价格同步较快上涨。</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hint="eastAsia"/>
        </w:rPr>
        <w:t>第四，</w:t>
      </w:r>
      <w:r w:rsidRPr="008E3A77">
        <w:rPr>
          <w:rFonts w:ascii="楷体" w:eastAsia="楷体" w:hAnsi="楷体"/>
        </w:rPr>
        <w:t xml:space="preserve"> 2月制造业大中型企业和小</w:t>
      </w:r>
      <w:proofErr w:type="gramStart"/>
      <w:r w:rsidRPr="008E3A77">
        <w:rPr>
          <w:rFonts w:ascii="楷体" w:eastAsia="楷体" w:hAnsi="楷体"/>
        </w:rPr>
        <w:t>微企业</w:t>
      </w:r>
      <w:proofErr w:type="gramEnd"/>
      <w:r w:rsidRPr="008E3A77">
        <w:rPr>
          <w:rFonts w:ascii="楷体" w:eastAsia="楷体" w:hAnsi="楷体"/>
        </w:rPr>
        <w:t>景气度明显分化。其中，当月大、中型企业PMI分别为51.8%和51.4%，高于上月0.2和0.9个百分点，景气水平均有所上升</w:t>
      </w:r>
      <w:r>
        <w:rPr>
          <w:rFonts w:ascii="楷体" w:eastAsia="楷体" w:hAnsi="楷体" w:hint="eastAsia"/>
        </w:rPr>
        <w:t>；</w:t>
      </w:r>
      <w:r w:rsidRPr="008E3A77">
        <w:rPr>
          <w:rFonts w:ascii="楷体" w:eastAsia="楷体" w:hAnsi="楷体"/>
        </w:rPr>
        <w:t>小型企业PMI为45.1%，低于上月0.9个百分点，景气水平低位回落。我们判断，除了小型企业节后复工复产相对滞后外，近期部分上游工业品价格上</w:t>
      </w:r>
      <w:r>
        <w:rPr>
          <w:rFonts w:ascii="楷体" w:eastAsia="楷体" w:hAnsi="楷体" w:hint="eastAsia"/>
        </w:rPr>
        <w:t>涨</w:t>
      </w:r>
      <w:r w:rsidRPr="008E3A77">
        <w:rPr>
          <w:rFonts w:ascii="楷体" w:eastAsia="楷体" w:hAnsi="楷体"/>
        </w:rPr>
        <w:t>，导致多处下游的小型企业成本压力加大也是一个重要原因。我们判断，由于小型企业是吸纳就业的主力军，短期内财政、金融定向支持措施会继续加码。</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hint="eastAsia"/>
        </w:rPr>
        <w:t>非制造业方面，</w:t>
      </w:r>
      <w:r w:rsidRPr="008E3A77">
        <w:rPr>
          <w:rFonts w:ascii="楷体" w:eastAsia="楷体" w:hAnsi="楷体"/>
        </w:rPr>
        <w:t>2月指数水平较前值上升0.5个百分点</w:t>
      </w:r>
      <w:bookmarkStart w:id="0" w:name="_GoBack"/>
      <w:r w:rsidRPr="008E3A77">
        <w:rPr>
          <w:rFonts w:ascii="楷体" w:eastAsia="楷体" w:hAnsi="楷体"/>
        </w:rPr>
        <w:t>，达到51.6%，表明</w:t>
      </w:r>
      <w:r>
        <w:rPr>
          <w:rFonts w:ascii="楷体" w:eastAsia="楷体" w:hAnsi="楷体" w:hint="eastAsia"/>
        </w:rPr>
        <w:t>在</w:t>
      </w:r>
      <w:r w:rsidRPr="008E3A77">
        <w:rPr>
          <w:rFonts w:ascii="楷体" w:eastAsia="楷体" w:hAnsi="楷体"/>
        </w:rPr>
        <w:t>经历了上月的大幅下行后，2月非制造业总体恢复有所加快。主要有两个原因：一是受基建投资提速影响，2月建筑业PMI指数高位大幅上行2.2个百分点，至57.6%。其中，土木工程建筑业商务活动指数为58.6%，高于上月8.9个百分点，建筑业景气水平明显提升，主要受近期</w:t>
      </w:r>
      <w:proofErr w:type="gramStart"/>
      <w:r w:rsidRPr="008E3A77">
        <w:rPr>
          <w:rFonts w:ascii="楷体" w:eastAsia="楷体" w:hAnsi="楷体"/>
        </w:rPr>
        <w:t>稳投资</w:t>
      </w:r>
      <w:proofErr w:type="gramEnd"/>
      <w:r w:rsidRPr="008E3A77">
        <w:rPr>
          <w:rFonts w:ascii="楷体" w:eastAsia="楷体" w:hAnsi="楷体"/>
        </w:rPr>
        <w:t>加快推进，部分重大基础设施工程和项目适度超前开展等因素带动。这在很大程度上抵消了房地产投资下滑对建筑业PMI指数的拖累。由此我们预计，2月固定资产投资增速将继续保持正向区间</w:t>
      </w:r>
      <w:r w:rsidRPr="008E3A77">
        <w:rPr>
          <w:rFonts w:ascii="楷体" w:eastAsia="楷体" w:hAnsi="楷体" w:hint="eastAsia"/>
        </w:rPr>
        <w:t>。</w:t>
      </w:r>
    </w:p>
    <w:p w:rsidR="008E3A77"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rPr>
        <w:t>2月服务业商务活动指数为50.5%，比上月小幅上升0.2个百分点，服务业延续恢复态势，但与往年春节月度相比，景气水平偏低。我们认为，这主要是受近期局部疫情波动影响。不过，2月服务业业务活动预期指数为59.6%，比上月上升2.9个百分点，表明受节后市场逐步恢复，以及扶持服务业困难行业恢复发展的多方面</w:t>
      </w:r>
      <w:proofErr w:type="gramStart"/>
      <w:r w:rsidRPr="008E3A77">
        <w:rPr>
          <w:rFonts w:ascii="楷体" w:eastAsia="楷体" w:hAnsi="楷体"/>
        </w:rPr>
        <w:t>纾困政策</w:t>
      </w:r>
      <w:proofErr w:type="gramEnd"/>
      <w:r w:rsidRPr="008E3A77">
        <w:rPr>
          <w:rFonts w:ascii="楷体" w:eastAsia="楷体" w:hAnsi="楷体"/>
        </w:rPr>
        <w:t>等影响，多数服务业企业对近期市场发展较为乐观。</w:t>
      </w:r>
    </w:p>
    <w:p w:rsidR="00FF4268" w:rsidRPr="008E3A77" w:rsidRDefault="008E3A77" w:rsidP="008E3A77">
      <w:pPr>
        <w:spacing w:beforeLines="50" w:before="156" w:line="360" w:lineRule="auto"/>
        <w:ind w:firstLineChars="200" w:firstLine="420"/>
        <w:rPr>
          <w:rFonts w:ascii="楷体" w:eastAsia="楷体" w:hAnsi="楷体"/>
        </w:rPr>
      </w:pPr>
      <w:r w:rsidRPr="008E3A77">
        <w:rPr>
          <w:rFonts w:ascii="楷体" w:eastAsia="楷体" w:hAnsi="楷体" w:hint="eastAsia"/>
        </w:rPr>
        <w:t>整体上看，</w:t>
      </w:r>
      <w:r w:rsidRPr="008E3A77">
        <w:rPr>
          <w:rFonts w:ascii="楷体" w:eastAsia="楷体" w:hAnsi="楷体"/>
        </w:rPr>
        <w:t>2月PMI指数显示当前经济扩张动能边际回升，主要动力来自基建投资提速和出口继续保持强劲增长势头。这在很大程度上抵消了楼市下滑的拖累，宏观经济运行呈现一定企稳迹象，但下行压力尚未根本缓解。与此同时，当前消费偏缓、小</w:t>
      </w:r>
      <w:proofErr w:type="gramStart"/>
      <w:r w:rsidRPr="008E3A77">
        <w:rPr>
          <w:rFonts w:ascii="楷体" w:eastAsia="楷体" w:hAnsi="楷体"/>
        </w:rPr>
        <w:t>微企业</w:t>
      </w:r>
      <w:proofErr w:type="gramEnd"/>
      <w:r w:rsidRPr="008E3A77">
        <w:rPr>
          <w:rFonts w:ascii="楷体" w:eastAsia="楷体" w:hAnsi="楷体"/>
        </w:rPr>
        <w:t>经营压力较大等薄弱环节亟待改善，房地产行业下滑势头仍在延续。值得一提的是，除境外疫情外，正在爆发的俄</w:t>
      </w:r>
      <w:proofErr w:type="gramStart"/>
      <w:r w:rsidRPr="008E3A77">
        <w:rPr>
          <w:rFonts w:ascii="楷体" w:eastAsia="楷体" w:hAnsi="楷体"/>
        </w:rPr>
        <w:t>乌战争</w:t>
      </w:r>
      <w:proofErr w:type="gramEnd"/>
      <w:r w:rsidRPr="008E3A77">
        <w:rPr>
          <w:rFonts w:ascii="楷体" w:eastAsia="楷体" w:hAnsi="楷体"/>
        </w:rPr>
        <w:t>也在显著增加外部不确定性。该事件在推高国际大宗商品价格的同时，也可能给国内投资、消费信心修复带来微妙影响。考虑到在消费偏缓、房地产下行等因素复合作用下，当前国内宏观经济本身就面</w:t>
      </w:r>
      <w:r w:rsidRPr="008E3A77">
        <w:rPr>
          <w:rFonts w:ascii="楷体" w:eastAsia="楷体" w:hAnsi="楷体" w:hint="eastAsia"/>
        </w:rPr>
        <w:t>临一定下行压力，新的不确定因素会促使政策面更加重视稳预期、稳增长。我们判断，二季度央行</w:t>
      </w:r>
      <w:proofErr w:type="gramStart"/>
      <w:r w:rsidRPr="008E3A77">
        <w:rPr>
          <w:rFonts w:ascii="楷体" w:eastAsia="楷体" w:hAnsi="楷体" w:hint="eastAsia"/>
        </w:rPr>
        <w:t>降息降准的</w:t>
      </w:r>
      <w:proofErr w:type="gramEnd"/>
      <w:r w:rsidRPr="008E3A77">
        <w:rPr>
          <w:rFonts w:ascii="楷体" w:eastAsia="楷体" w:hAnsi="楷体" w:hint="eastAsia"/>
        </w:rPr>
        <w:t>可能性依然存在，财</w:t>
      </w:r>
      <w:bookmarkEnd w:id="0"/>
      <w:r w:rsidRPr="008E3A77">
        <w:rPr>
          <w:rFonts w:ascii="楷体" w:eastAsia="楷体" w:hAnsi="楷体" w:hint="eastAsia"/>
        </w:rPr>
        <w:t>政靠前发力特征会更加明显。其中，上半年基建投资增速“跳升”将是政策发力</w:t>
      </w:r>
      <w:proofErr w:type="gramStart"/>
      <w:r w:rsidRPr="008E3A77">
        <w:rPr>
          <w:rFonts w:ascii="楷体" w:eastAsia="楷体" w:hAnsi="楷体" w:hint="eastAsia"/>
        </w:rPr>
        <w:t>稳增长</w:t>
      </w:r>
      <w:proofErr w:type="gramEnd"/>
      <w:r w:rsidRPr="008E3A77">
        <w:rPr>
          <w:rFonts w:ascii="楷体" w:eastAsia="楷体" w:hAnsi="楷体" w:hint="eastAsia"/>
        </w:rPr>
        <w:t>的最明显标志。</w:t>
      </w:r>
    </w:p>
    <w:p w:rsidR="00FF4268" w:rsidRDefault="00FF4268" w:rsidP="008E3A77">
      <w:pPr>
        <w:spacing w:beforeLines="50" w:before="156"/>
        <w:rPr>
          <w:rFonts w:ascii="华文细黑" w:eastAsia="华文细黑" w:hAnsi="华文细黑"/>
          <w:sz w:val="18"/>
          <w:szCs w:val="20"/>
        </w:rPr>
      </w:pPr>
    </w:p>
    <w:p w:rsidR="004C6A0F" w:rsidRPr="00BB48AC" w:rsidRDefault="004C6A0F" w:rsidP="00BB48AC">
      <w:pPr>
        <w:rPr>
          <w:rFonts w:ascii="华文细黑" w:eastAsia="华文细黑" w:hAnsi="华文细黑"/>
          <w:sz w:val="18"/>
          <w:szCs w:val="20"/>
        </w:rPr>
      </w:pPr>
      <w:r w:rsidRPr="00814C8C">
        <w:rPr>
          <w:b/>
          <w:bCs/>
          <w:noProof/>
        </w:rPr>
        <mc:AlternateContent>
          <mc:Choice Requires="wps">
            <w:drawing>
              <wp:anchor distT="0" distB="0" distL="114300" distR="114300" simplePos="0" relativeHeight="251658240" behindDoc="0" locked="0" layoutInCell="1" allowOverlap="1" wp14:anchorId="485B9DB1" wp14:editId="7DBD628B">
                <wp:simplePos x="0" y="0"/>
                <wp:positionH relativeFrom="column">
                  <wp:posOffset>0</wp:posOffset>
                </wp:positionH>
                <wp:positionV relativeFrom="paragraph">
                  <wp:posOffset>0</wp:posOffset>
                </wp:positionV>
                <wp:extent cx="6223000" cy="4004310"/>
                <wp:effectExtent l="0" t="0" r="635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004310"/>
                        </a:xfrm>
                        <a:prstGeom prst="rect">
                          <a:avLst/>
                        </a:prstGeom>
                        <a:solidFill>
                          <a:srgbClr val="FFFFFF"/>
                        </a:solidFill>
                        <a:ln w="9525">
                          <a:noFill/>
                          <a:miter lim="800000"/>
                          <a:headEnd/>
                          <a:tailEnd/>
                        </a:ln>
                      </wps:spPr>
                      <wps:txbx>
                        <w:txbxContent>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权利及免责声明：</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及相关的信用分析数据、模型、软件、评级结果等所有内容的著作权和其他相关知识产权均归东方金诚所有，东方金诚保留一切与此相关的权利，任何机构及个人未经东方金诚书面授权不得修改、复制、逆向工程、销售、分发、储存、引用或以任何方式传播。</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本研究报告中引用的标明出处的公开资料，其合法性、真实性、准确性、完整性均</w:t>
                            </w:r>
                            <w:proofErr w:type="gramStart"/>
                            <w:r w:rsidRPr="00E52D01">
                              <w:rPr>
                                <w:rFonts w:ascii="微软雅黑" w:eastAsia="微软雅黑" w:hAnsi="微软雅黑" w:hint="eastAsia"/>
                                <w:color w:val="787878"/>
                                <w:sz w:val="16"/>
                                <w:szCs w:val="16"/>
                              </w:rPr>
                              <w:t>由资料</w:t>
                            </w:r>
                            <w:proofErr w:type="gramEnd"/>
                            <w:r w:rsidRPr="00E52D01">
                              <w:rPr>
                                <w:rFonts w:ascii="微软雅黑" w:eastAsia="微软雅黑" w:hAnsi="微软雅黑" w:hint="eastAsia"/>
                                <w:color w:val="787878"/>
                                <w:sz w:val="16"/>
                                <w:szCs w:val="16"/>
                              </w:rPr>
                              <w:t>提供方</w:t>
                            </w:r>
                            <w:r w:rsidRPr="00E52D01">
                              <w:rPr>
                                <w:rFonts w:ascii="微软雅黑" w:eastAsia="微软雅黑" w:hAnsi="微软雅黑"/>
                                <w:color w:val="787878"/>
                                <w:sz w:val="16"/>
                                <w:szCs w:val="16"/>
                              </w:rPr>
                              <w:t>/ 发布方负责，东方金诚对该等资料进行了合理审慎的核查，但不应视为东方金诚对其合法性、真实性、准确性及完整性提供了任何形式的保证。</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由于评级预测具有主观性和局限性，东方金</w:t>
                            </w:r>
                            <w:proofErr w:type="gramStart"/>
                            <w:r w:rsidRPr="00E52D01">
                              <w:rPr>
                                <w:rFonts w:ascii="微软雅黑" w:eastAsia="微软雅黑" w:hAnsi="微软雅黑" w:hint="eastAsia"/>
                                <w:color w:val="787878"/>
                                <w:sz w:val="16"/>
                                <w:szCs w:val="16"/>
                              </w:rPr>
                              <w:t>诚对于</w:t>
                            </w:r>
                            <w:proofErr w:type="gramEnd"/>
                            <w:r w:rsidRPr="00E52D01">
                              <w:rPr>
                                <w:rFonts w:ascii="微软雅黑" w:eastAsia="微软雅黑" w:hAnsi="微软雅黑" w:hint="eastAsia"/>
                                <w:color w:val="787878"/>
                                <w:sz w:val="16"/>
                                <w:szCs w:val="16"/>
                              </w:rPr>
                              <w:t>评级预测以及基于评级预测的结论并不保证与实际情况一致，并保留随时予以修正或更新的权利。</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本研究报告仅用于为投资人、发行人等授权使用方提供第三方参考意见，并非是对某种决策的结论或建议；投资者应审慎使用本研究报告，自行对投资行为和投资结果负责，东方金诚不对其承担任何责任。</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本研究报告仅授权东方金诚指定的使用者使用，且该等使用者必须按照授权确定的方式使用，相关引用必须注明来自东方金诚且不得篡改、歪曲或有任何类似性质的修改行为。</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未获授权的机构及人士不应获取或以任何方式使用本研究报告，东方金诚对本研究报告的未授权使用、超授权使用和非法使用等不当使用行为所造成的一切后果均不承担任何责任。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B9DB1" id="_x0000_t202" coordsize="21600,21600" o:spt="202" path="m,l,21600r21600,l21600,xe">
                <v:stroke joinstyle="miter"/>
                <v:path gradientshapeok="t" o:connecttype="rect"/>
              </v:shapetype>
              <v:shape id="文本框 2" o:spid="_x0000_s1026" type="#_x0000_t202" style="position:absolute;left:0;text-align:left;margin-left:0;margin-top:0;width:490pt;height:3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" stroked="f">
                <v:textbox>
                  <w:txbxContent>
                    <w:p w14:paraId="0AD9E5C6"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权利及免责声明：</w:t>
                      </w:r>
                    </w:p>
                    <w:p w14:paraId="64509D71"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及相关的信用分析数据、模型、软件、评级结果等所有内容的著作权和其他相关知识产权均归东方金诚所有，东方金诚保留一切与此相关的权利，任何机构及个人未经东方金诚书面授权不得修改、复制、逆向工程、销售、分发、储存、引用或以任何方式传播。</w:t>
                      </w:r>
                    </w:p>
                    <w:p w14:paraId="03B4E0F4"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本研究报告中引用的标明出处的公开资料，其合法性、真实性、准确性、完整性均</w:t>
                      </w:r>
                      <w:proofErr w:type="gramStart"/>
                      <w:r w:rsidRPr="00E52D01">
                        <w:rPr>
                          <w:rFonts w:ascii="微软雅黑" w:eastAsia="微软雅黑" w:hAnsi="微软雅黑" w:hint="eastAsia"/>
                          <w:color w:val="787878"/>
                          <w:sz w:val="16"/>
                          <w:szCs w:val="16"/>
                        </w:rPr>
                        <w:t>由资料</w:t>
                      </w:r>
                      <w:proofErr w:type="gramEnd"/>
                      <w:r w:rsidRPr="00E52D01">
                        <w:rPr>
                          <w:rFonts w:ascii="微软雅黑" w:eastAsia="微软雅黑" w:hAnsi="微软雅黑" w:hint="eastAsia"/>
                          <w:color w:val="787878"/>
                          <w:sz w:val="16"/>
                          <w:szCs w:val="16"/>
                        </w:rPr>
                        <w:t>提供方</w:t>
                      </w:r>
                      <w:r w:rsidRPr="00E52D01">
                        <w:rPr>
                          <w:rFonts w:ascii="微软雅黑" w:eastAsia="微软雅黑" w:hAnsi="微软雅黑"/>
                          <w:color w:val="787878"/>
                          <w:sz w:val="16"/>
                          <w:szCs w:val="16"/>
                        </w:rPr>
                        <w:t>/ 发布方负责，东方金诚对该等资料进行了合理审慎的核查，但不应视为东方金诚对其合法性、真实性、准确性及完整性提供了任何形式的保证。</w:t>
                      </w:r>
                    </w:p>
                    <w:p w14:paraId="4D26AF81"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由于评级预测具有主观性和局限性，东方金</w:t>
                      </w:r>
                      <w:proofErr w:type="gramStart"/>
                      <w:r w:rsidRPr="00E52D01">
                        <w:rPr>
                          <w:rFonts w:ascii="微软雅黑" w:eastAsia="微软雅黑" w:hAnsi="微软雅黑" w:hint="eastAsia"/>
                          <w:color w:val="787878"/>
                          <w:sz w:val="16"/>
                          <w:szCs w:val="16"/>
                        </w:rPr>
                        <w:t>诚对于</w:t>
                      </w:r>
                      <w:proofErr w:type="gramEnd"/>
                      <w:r w:rsidRPr="00E52D01">
                        <w:rPr>
                          <w:rFonts w:ascii="微软雅黑" w:eastAsia="微软雅黑" w:hAnsi="微软雅黑" w:hint="eastAsia"/>
                          <w:color w:val="787878"/>
                          <w:sz w:val="16"/>
                          <w:szCs w:val="16"/>
                        </w:rPr>
                        <w:t>评级预测以及基于评级预测的结论并不保证与实际情况一致，并保留随时予以修正或更新的权利。</w:t>
                      </w:r>
                    </w:p>
                    <w:p w14:paraId="6027D0E9"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本研究报告仅用于为投资人、发行人等授权使用方提供第三方参考意见，并非是对某种决策的结论或建议；投资者应审慎使用本研究报告，自行对投资行为和投资结果负责，东方金诚不对其承担任何责任。</w:t>
                      </w:r>
                    </w:p>
                    <w:p w14:paraId="72866DCE"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本研究报告仅授权东方金诚指定的使用者使用，且该等使用者必须按照授权确定的方式使用，相关引用必须注明来自东方金诚且不得篡改、歪曲或有任何类似性质的修改行为。</w:t>
                      </w:r>
                    </w:p>
                    <w:p w14:paraId="2A2F7F02"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未获授权的机构及人士不应获取或以任何方式使用本研究报告，东方金诚对本研究报告的未授权使用、超授权使用和非法使用等不当使用行为所造成的一切后果均不承担任何责任。</w:t>
                      </w:r>
                    </w:p>
                  </w:txbxContent>
                </v:textbox>
              </v:shape>
            </w:pict>
          </mc:Fallback>
        </mc:AlternateContent>
      </w:r>
    </w:p>
    <w:sectPr w:rsidR="004C6A0F" w:rsidRPr="00BB48AC" w:rsidSect="00371DFB">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48" w:rsidRDefault="00A05448" w:rsidP="005810C8">
      <w:r>
        <w:separator/>
      </w:r>
    </w:p>
  </w:endnote>
  <w:endnote w:type="continuationSeparator" w:id="0">
    <w:p w:rsidR="00A05448" w:rsidRDefault="00A05448" w:rsidP="0058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E4" w:rsidRDefault="00517CE4" w:rsidP="00371DFB">
    <w:pPr>
      <w:pStyle w:val="a4"/>
    </w:pPr>
    <w:r>
      <w:rPr>
        <w:noProof/>
      </w:rPr>
      <mc:AlternateContent>
        <mc:Choice Requires="wps">
          <w:drawing>
            <wp:anchor distT="0" distB="0" distL="114300" distR="114300" simplePos="0" relativeHeight="251658240" behindDoc="0" locked="0" layoutInCell="1" allowOverlap="1" wp14:anchorId="27CA6FE0" wp14:editId="1C32B094">
              <wp:simplePos x="0" y="0"/>
              <wp:positionH relativeFrom="page">
                <wp:posOffset>5781887</wp:posOffset>
              </wp:positionH>
              <wp:positionV relativeFrom="page">
                <wp:posOffset>9201997</wp:posOffset>
              </wp:positionV>
              <wp:extent cx="1745004" cy="1485325"/>
              <wp:effectExtent l="0" t="0" r="7620" b="635"/>
              <wp:wrapNone/>
              <wp:docPr id="8" name="等腰三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004" cy="148532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CE4" w:rsidRPr="000F1C3C" w:rsidRDefault="00517CE4" w:rsidP="00371DFB">
                          <w:pPr>
                            <w:jc w:val="center"/>
                            <w:rPr>
                              <w:rFonts w:ascii="黑体" w:eastAsia="黑体" w:hAnsi="黑体"/>
                              <w:b/>
                              <w:bCs/>
                              <w:sz w:val="24"/>
                              <w:szCs w:val="24"/>
                            </w:rPr>
                          </w:pPr>
                          <w:r w:rsidRPr="000F1C3C">
                            <w:rPr>
                              <w:rFonts w:ascii="黑体" w:eastAsia="黑体" w:hAnsi="黑体" w:cs="Times New Roman"/>
                              <w:b/>
                              <w:bCs/>
                              <w:sz w:val="24"/>
                              <w:szCs w:val="24"/>
                            </w:rPr>
                            <w:fldChar w:fldCharType="begin"/>
                          </w:r>
                          <w:r w:rsidRPr="000F1C3C">
                            <w:rPr>
                              <w:rFonts w:ascii="黑体" w:eastAsia="黑体" w:hAnsi="黑体"/>
                              <w:b/>
                              <w:bCs/>
                              <w:sz w:val="24"/>
                              <w:szCs w:val="24"/>
                            </w:rPr>
                            <w:instrText>PAGE    \* MERGEFORMAT</w:instrText>
                          </w:r>
                          <w:r w:rsidRPr="000F1C3C">
                            <w:rPr>
                              <w:rFonts w:ascii="黑体" w:eastAsia="黑体" w:hAnsi="黑体" w:cs="Times New Roman"/>
                              <w:b/>
                              <w:bCs/>
                              <w:sz w:val="24"/>
                              <w:szCs w:val="24"/>
                            </w:rPr>
                            <w:fldChar w:fldCharType="separate"/>
                          </w:r>
                          <w:r w:rsidR="00353EC6" w:rsidRPr="00353EC6">
                            <w:rPr>
                              <w:rFonts w:ascii="黑体" w:eastAsia="黑体" w:hAnsi="黑体" w:cstheme="majorBidi"/>
                              <w:b/>
                              <w:bCs/>
                              <w:noProof/>
                              <w:color w:val="FFFFFF" w:themeColor="background1"/>
                              <w:sz w:val="24"/>
                              <w:szCs w:val="24"/>
                              <w:lang w:val="zh-CN"/>
                            </w:rPr>
                            <w:t>2</w:t>
                          </w:r>
                          <w:r w:rsidRPr="000F1C3C">
                            <w:rPr>
                              <w:rFonts w:ascii="黑体" w:eastAsia="黑体" w:hAnsi="黑体" w:cstheme="majorBidi"/>
                              <w:b/>
                              <w:bCs/>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8" o:spid="_x0000_s1027" type="#_x0000_t5" style="position:absolute;margin-left:455.25pt;margin-top:724.55pt;width:137.4pt;height:11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" adj="21600" fillcolor="#d2eaf1" stroked="f">
              <v:textbox>
                <w:txbxContent>
                  <w:p w:rsidR="00517CE4" w:rsidRPr="000F1C3C" w:rsidRDefault="00517CE4" w:rsidP="00371DFB">
                    <w:pPr>
                      <w:jc w:val="center"/>
                      <w:rPr>
                        <w:rFonts w:ascii="黑体" w:eastAsia="黑体" w:hAnsi="黑体"/>
                        <w:b/>
                        <w:bCs/>
                        <w:sz w:val="24"/>
                        <w:szCs w:val="24"/>
                      </w:rPr>
                    </w:pPr>
                    <w:r w:rsidRPr="000F1C3C">
                      <w:rPr>
                        <w:rFonts w:ascii="黑体" w:eastAsia="黑体" w:hAnsi="黑体" w:cs="Times New Roman"/>
                        <w:b/>
                        <w:bCs/>
                        <w:sz w:val="24"/>
                        <w:szCs w:val="24"/>
                      </w:rPr>
                      <w:fldChar w:fldCharType="begin"/>
                    </w:r>
                    <w:r w:rsidRPr="000F1C3C">
                      <w:rPr>
                        <w:rFonts w:ascii="黑体" w:eastAsia="黑体" w:hAnsi="黑体"/>
                        <w:b/>
                        <w:bCs/>
                        <w:sz w:val="24"/>
                        <w:szCs w:val="24"/>
                      </w:rPr>
                      <w:instrText>PAGE    \* MERGEFORMAT</w:instrText>
                    </w:r>
                    <w:r w:rsidRPr="000F1C3C">
                      <w:rPr>
                        <w:rFonts w:ascii="黑体" w:eastAsia="黑体" w:hAnsi="黑体" w:cs="Times New Roman"/>
                        <w:b/>
                        <w:bCs/>
                        <w:sz w:val="24"/>
                        <w:szCs w:val="24"/>
                      </w:rPr>
                      <w:fldChar w:fldCharType="separate"/>
                    </w:r>
                    <w:r w:rsidR="00353EC6" w:rsidRPr="00353EC6">
                      <w:rPr>
                        <w:rFonts w:ascii="黑体" w:eastAsia="黑体" w:hAnsi="黑体" w:cstheme="majorBidi"/>
                        <w:b/>
                        <w:bCs/>
                        <w:noProof/>
                        <w:color w:val="FFFFFF" w:themeColor="background1"/>
                        <w:sz w:val="24"/>
                        <w:szCs w:val="24"/>
                        <w:lang w:val="zh-CN"/>
                      </w:rPr>
                      <w:t>2</w:t>
                    </w:r>
                    <w:r w:rsidRPr="000F1C3C">
                      <w:rPr>
                        <w:rFonts w:ascii="黑体" w:eastAsia="黑体" w:hAnsi="黑体" w:cstheme="majorBidi"/>
                        <w:b/>
                        <w:bCs/>
                        <w:color w:val="FFFFFF" w:themeColor="background1"/>
                        <w:sz w:val="24"/>
                        <w:szCs w:val="24"/>
                      </w:rPr>
                      <w:fldChar w:fldCharType="end"/>
                    </w:r>
                  </w:p>
                </w:txbxContent>
              </v:textbox>
              <w10:wrap anchorx="page" anchory="page"/>
            </v:shape>
          </w:pict>
        </mc:Fallback>
      </mc:AlternateContent>
    </w:r>
  </w:p>
  <w:p w:rsidR="00517CE4" w:rsidRDefault="00517C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48" w:rsidRDefault="00A05448" w:rsidP="005810C8">
      <w:r>
        <w:separator/>
      </w:r>
    </w:p>
  </w:footnote>
  <w:footnote w:type="continuationSeparator" w:id="0">
    <w:p w:rsidR="00A05448" w:rsidRDefault="00A05448" w:rsidP="00581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E4" w:rsidRPr="000F1C3C" w:rsidRDefault="00517CE4" w:rsidP="000F1C3C">
    <w:pPr>
      <w:pStyle w:val="a3"/>
      <w:jc w:val="left"/>
      <w:rPr>
        <w:rFonts w:ascii="黑体" w:eastAsia="黑体" w:hAnsi="黑体"/>
        <w:b/>
        <w:bCs/>
        <w:color w:val="4472C4" w:themeColor="accent1"/>
        <w:sz w:val="21"/>
        <w:szCs w:val="21"/>
      </w:rPr>
    </w:pPr>
    <w:r>
      <w:rPr>
        <w:rFonts w:ascii="宋体" w:hAnsi="宋体"/>
        <w:noProof/>
      </w:rPr>
      <w:drawing>
        <wp:inline distT="0" distB="0" distL="0" distR="0" wp14:anchorId="65FC5F87" wp14:editId="1DE9A778">
          <wp:extent cx="1837055" cy="2032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203200"/>
                  </a:xfrm>
                  <a:prstGeom prst="rect">
                    <a:avLst/>
                  </a:prstGeom>
                  <a:noFill/>
                  <a:ln>
                    <a:noFill/>
                  </a:ln>
                  <a:effectLst/>
                </pic:spPr>
              </pic:pic>
            </a:graphicData>
          </a:graphic>
        </wp:inline>
      </w:drawing>
    </w:r>
    <w:r>
      <w:rPr>
        <w:rFonts w:hint="eastAsia"/>
      </w:rPr>
      <w:t xml:space="preserve"> </w:t>
    </w:r>
    <w:r>
      <w:t xml:space="preserve">                                                                                                      </w:t>
    </w:r>
    <w:r w:rsidRPr="000F1C3C">
      <w:rPr>
        <w:rFonts w:ascii="黑体" w:eastAsia="黑体" w:hAnsi="黑体" w:hint="eastAsia"/>
        <w:b/>
        <w:bCs/>
        <w:color w:val="4472C4" w:themeColor="accent1"/>
        <w:sz w:val="21"/>
        <w:szCs w:val="21"/>
      </w:rPr>
      <w:t>东方金诚</w:t>
    </w:r>
    <w:r>
      <w:rPr>
        <w:rFonts w:ascii="黑体" w:eastAsia="黑体" w:hAnsi="黑体" w:hint="eastAsia"/>
        <w:b/>
        <w:bCs/>
        <w:color w:val="4472C4" w:themeColor="accent1"/>
        <w:sz w:val="21"/>
        <w:szCs w:val="21"/>
      </w:rPr>
      <w:t>宏观</w:t>
    </w:r>
    <w:r w:rsidRPr="000F1C3C">
      <w:rPr>
        <w:rFonts w:ascii="黑体" w:eastAsia="黑体" w:hAnsi="黑体" w:hint="eastAsia"/>
        <w:b/>
        <w:bCs/>
        <w:color w:val="4472C4" w:themeColor="accent1"/>
        <w:sz w:val="21"/>
        <w:szCs w:val="21"/>
      </w:rPr>
      <w:t>研究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5pt;height:11.45pt" o:bullet="t">
        <v:imagedata r:id="rId1" o:title="mso437B"/>
      </v:shape>
    </w:pict>
  </w:numPicBullet>
  <w:abstractNum w:abstractNumId="0">
    <w:nsid w:val="03A468AE"/>
    <w:multiLevelType w:val="hybridMultilevel"/>
    <w:tmpl w:val="5324F7C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F294766"/>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23830FF9"/>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2D1F33F5"/>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2EF93D24"/>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39AB279D"/>
    <w:multiLevelType w:val="hybridMultilevel"/>
    <w:tmpl w:val="A5A8A2A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AB4546"/>
    <w:multiLevelType w:val="hybridMultilevel"/>
    <w:tmpl w:val="8C3AFD9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7F9A1A5D"/>
    <w:multiLevelType w:val="hybridMultilevel"/>
    <w:tmpl w:val="A2701EB0"/>
    <w:lvl w:ilvl="0" w:tplc="CDF48624">
      <w:start w:val="1"/>
      <w:numFmt w:val="japaneseCounting"/>
      <w:lvlText w:val="%1、"/>
      <w:lvlJc w:val="left"/>
      <w:pPr>
        <w:ind w:left="854" w:hanging="432"/>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冯琳">
    <w15:presenceInfo w15:providerId="None" w15:userId="冯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C8"/>
    <w:rsid w:val="00003A33"/>
    <w:rsid w:val="000065C4"/>
    <w:rsid w:val="00020741"/>
    <w:rsid w:val="000244C1"/>
    <w:rsid w:val="00027B4D"/>
    <w:rsid w:val="00030316"/>
    <w:rsid w:val="00030828"/>
    <w:rsid w:val="00031BD8"/>
    <w:rsid w:val="00033211"/>
    <w:rsid w:val="00042128"/>
    <w:rsid w:val="00045CB1"/>
    <w:rsid w:val="00053883"/>
    <w:rsid w:val="000538D8"/>
    <w:rsid w:val="00060349"/>
    <w:rsid w:val="0006440F"/>
    <w:rsid w:val="0006745D"/>
    <w:rsid w:val="00075F8E"/>
    <w:rsid w:val="00080596"/>
    <w:rsid w:val="00080680"/>
    <w:rsid w:val="000806CF"/>
    <w:rsid w:val="00080F27"/>
    <w:rsid w:val="00085A99"/>
    <w:rsid w:val="00087707"/>
    <w:rsid w:val="00093FDB"/>
    <w:rsid w:val="00094ECC"/>
    <w:rsid w:val="00096912"/>
    <w:rsid w:val="000B0EC4"/>
    <w:rsid w:val="000B445C"/>
    <w:rsid w:val="000D0FD4"/>
    <w:rsid w:val="000D3702"/>
    <w:rsid w:val="000D4421"/>
    <w:rsid w:val="000D6EA0"/>
    <w:rsid w:val="000E2796"/>
    <w:rsid w:val="000F1C3C"/>
    <w:rsid w:val="000F428E"/>
    <w:rsid w:val="000F679A"/>
    <w:rsid w:val="001004DA"/>
    <w:rsid w:val="00105F1D"/>
    <w:rsid w:val="00105F74"/>
    <w:rsid w:val="001155BB"/>
    <w:rsid w:val="00121B1A"/>
    <w:rsid w:val="001310BA"/>
    <w:rsid w:val="00135E5F"/>
    <w:rsid w:val="00150EEB"/>
    <w:rsid w:val="00164796"/>
    <w:rsid w:val="00171795"/>
    <w:rsid w:val="00172C6E"/>
    <w:rsid w:val="00180603"/>
    <w:rsid w:val="001808E1"/>
    <w:rsid w:val="00183A17"/>
    <w:rsid w:val="0019080F"/>
    <w:rsid w:val="00194256"/>
    <w:rsid w:val="001A313B"/>
    <w:rsid w:val="001B11A0"/>
    <w:rsid w:val="001B61B2"/>
    <w:rsid w:val="001C07E8"/>
    <w:rsid w:val="001C6979"/>
    <w:rsid w:val="001D4CA3"/>
    <w:rsid w:val="001D5BF1"/>
    <w:rsid w:val="001D68A9"/>
    <w:rsid w:val="001D7966"/>
    <w:rsid w:val="001E0763"/>
    <w:rsid w:val="001E30D8"/>
    <w:rsid w:val="001E7508"/>
    <w:rsid w:val="001E7B99"/>
    <w:rsid w:val="001F69E3"/>
    <w:rsid w:val="001F6A3F"/>
    <w:rsid w:val="001F6F1F"/>
    <w:rsid w:val="00201D85"/>
    <w:rsid w:val="00204455"/>
    <w:rsid w:val="002060A9"/>
    <w:rsid w:val="00206397"/>
    <w:rsid w:val="00225132"/>
    <w:rsid w:val="00225896"/>
    <w:rsid w:val="002428D3"/>
    <w:rsid w:val="002454EE"/>
    <w:rsid w:val="0024604E"/>
    <w:rsid w:val="00254DA8"/>
    <w:rsid w:val="002558DA"/>
    <w:rsid w:val="00266FBC"/>
    <w:rsid w:val="002716C7"/>
    <w:rsid w:val="002757FB"/>
    <w:rsid w:val="00275A41"/>
    <w:rsid w:val="00276C9C"/>
    <w:rsid w:val="00282198"/>
    <w:rsid w:val="002838F2"/>
    <w:rsid w:val="002910DF"/>
    <w:rsid w:val="00295CE7"/>
    <w:rsid w:val="00295EF1"/>
    <w:rsid w:val="00296181"/>
    <w:rsid w:val="002A51A2"/>
    <w:rsid w:val="002B032A"/>
    <w:rsid w:val="002C474E"/>
    <w:rsid w:val="002C7515"/>
    <w:rsid w:val="002D496F"/>
    <w:rsid w:val="002D5024"/>
    <w:rsid w:val="002D5824"/>
    <w:rsid w:val="002D6B40"/>
    <w:rsid w:val="002E1FCE"/>
    <w:rsid w:val="002E3555"/>
    <w:rsid w:val="002F6E4F"/>
    <w:rsid w:val="00300B3F"/>
    <w:rsid w:val="003014D7"/>
    <w:rsid w:val="0030305F"/>
    <w:rsid w:val="00315C06"/>
    <w:rsid w:val="00333C27"/>
    <w:rsid w:val="00336F85"/>
    <w:rsid w:val="00343111"/>
    <w:rsid w:val="003450FB"/>
    <w:rsid w:val="00347C8F"/>
    <w:rsid w:val="00353E88"/>
    <w:rsid w:val="00353EC6"/>
    <w:rsid w:val="0036430F"/>
    <w:rsid w:val="00367457"/>
    <w:rsid w:val="00371DFB"/>
    <w:rsid w:val="00372EE4"/>
    <w:rsid w:val="00382306"/>
    <w:rsid w:val="00382F64"/>
    <w:rsid w:val="003903E6"/>
    <w:rsid w:val="00393BE8"/>
    <w:rsid w:val="00396114"/>
    <w:rsid w:val="00397DAF"/>
    <w:rsid w:val="003A0C16"/>
    <w:rsid w:val="003A32ED"/>
    <w:rsid w:val="003B1BC6"/>
    <w:rsid w:val="003B204A"/>
    <w:rsid w:val="003C6D91"/>
    <w:rsid w:val="003D55D6"/>
    <w:rsid w:val="003E6047"/>
    <w:rsid w:val="003F05A0"/>
    <w:rsid w:val="003F2359"/>
    <w:rsid w:val="00407242"/>
    <w:rsid w:val="00411596"/>
    <w:rsid w:val="0041310D"/>
    <w:rsid w:val="0041570C"/>
    <w:rsid w:val="00431FAF"/>
    <w:rsid w:val="00436B3A"/>
    <w:rsid w:val="00443124"/>
    <w:rsid w:val="00450AFC"/>
    <w:rsid w:val="004512A8"/>
    <w:rsid w:val="004513E2"/>
    <w:rsid w:val="0046551B"/>
    <w:rsid w:val="00467E04"/>
    <w:rsid w:val="00473802"/>
    <w:rsid w:val="0047461D"/>
    <w:rsid w:val="0048031D"/>
    <w:rsid w:val="00481018"/>
    <w:rsid w:val="00483645"/>
    <w:rsid w:val="00487CF3"/>
    <w:rsid w:val="00491DB0"/>
    <w:rsid w:val="004927F9"/>
    <w:rsid w:val="0049394C"/>
    <w:rsid w:val="0049725E"/>
    <w:rsid w:val="004A08B1"/>
    <w:rsid w:val="004A1743"/>
    <w:rsid w:val="004A1B24"/>
    <w:rsid w:val="004A467C"/>
    <w:rsid w:val="004B1AA1"/>
    <w:rsid w:val="004B41F9"/>
    <w:rsid w:val="004B5510"/>
    <w:rsid w:val="004B7053"/>
    <w:rsid w:val="004B7FD7"/>
    <w:rsid w:val="004C00C1"/>
    <w:rsid w:val="004C0706"/>
    <w:rsid w:val="004C27F8"/>
    <w:rsid w:val="004C4D2D"/>
    <w:rsid w:val="004C642D"/>
    <w:rsid w:val="004C6A0F"/>
    <w:rsid w:val="004D1D94"/>
    <w:rsid w:val="004D3E85"/>
    <w:rsid w:val="004E5D14"/>
    <w:rsid w:val="004F38D3"/>
    <w:rsid w:val="004F3E6C"/>
    <w:rsid w:val="00500EDA"/>
    <w:rsid w:val="005017BB"/>
    <w:rsid w:val="00505091"/>
    <w:rsid w:val="00512F45"/>
    <w:rsid w:val="0051471C"/>
    <w:rsid w:val="005174B0"/>
    <w:rsid w:val="0051765A"/>
    <w:rsid w:val="00517CE4"/>
    <w:rsid w:val="00520213"/>
    <w:rsid w:val="0052124F"/>
    <w:rsid w:val="00521D3E"/>
    <w:rsid w:val="00526375"/>
    <w:rsid w:val="00530743"/>
    <w:rsid w:val="0053637B"/>
    <w:rsid w:val="0053790C"/>
    <w:rsid w:val="005421F7"/>
    <w:rsid w:val="005442E7"/>
    <w:rsid w:val="005463CB"/>
    <w:rsid w:val="0056705A"/>
    <w:rsid w:val="005722D8"/>
    <w:rsid w:val="005756FC"/>
    <w:rsid w:val="00575C9A"/>
    <w:rsid w:val="00577BFC"/>
    <w:rsid w:val="00580944"/>
    <w:rsid w:val="005810C8"/>
    <w:rsid w:val="0058467C"/>
    <w:rsid w:val="00597453"/>
    <w:rsid w:val="005A4FCF"/>
    <w:rsid w:val="005A5FB5"/>
    <w:rsid w:val="005A6B4B"/>
    <w:rsid w:val="005A70EC"/>
    <w:rsid w:val="005B057F"/>
    <w:rsid w:val="005C1D97"/>
    <w:rsid w:val="005C24F6"/>
    <w:rsid w:val="005C3E0A"/>
    <w:rsid w:val="005D1734"/>
    <w:rsid w:val="005D3D35"/>
    <w:rsid w:val="005D6A9E"/>
    <w:rsid w:val="005E36C7"/>
    <w:rsid w:val="005E5A07"/>
    <w:rsid w:val="0060039E"/>
    <w:rsid w:val="00621704"/>
    <w:rsid w:val="006303ED"/>
    <w:rsid w:val="006305BC"/>
    <w:rsid w:val="00635699"/>
    <w:rsid w:val="006538BD"/>
    <w:rsid w:val="006575F9"/>
    <w:rsid w:val="00665FDB"/>
    <w:rsid w:val="0067235C"/>
    <w:rsid w:val="0067283E"/>
    <w:rsid w:val="00674519"/>
    <w:rsid w:val="006773CB"/>
    <w:rsid w:val="00682FCC"/>
    <w:rsid w:val="006833B8"/>
    <w:rsid w:val="006848CD"/>
    <w:rsid w:val="006852A1"/>
    <w:rsid w:val="0069381B"/>
    <w:rsid w:val="006941FF"/>
    <w:rsid w:val="00696A1D"/>
    <w:rsid w:val="00697857"/>
    <w:rsid w:val="006A49DD"/>
    <w:rsid w:val="006A4E9E"/>
    <w:rsid w:val="006B22E9"/>
    <w:rsid w:val="006C31B6"/>
    <w:rsid w:val="006C3224"/>
    <w:rsid w:val="006C5968"/>
    <w:rsid w:val="006D5CA8"/>
    <w:rsid w:val="006D7504"/>
    <w:rsid w:val="006E2982"/>
    <w:rsid w:val="006E6354"/>
    <w:rsid w:val="006E68A4"/>
    <w:rsid w:val="006E7AFB"/>
    <w:rsid w:val="006F4BDD"/>
    <w:rsid w:val="006F4F08"/>
    <w:rsid w:val="007040C0"/>
    <w:rsid w:val="00716DCC"/>
    <w:rsid w:val="00725D8F"/>
    <w:rsid w:val="00736D81"/>
    <w:rsid w:val="00743CA1"/>
    <w:rsid w:val="00745CC4"/>
    <w:rsid w:val="0075435A"/>
    <w:rsid w:val="00766C57"/>
    <w:rsid w:val="00767D1D"/>
    <w:rsid w:val="0077030E"/>
    <w:rsid w:val="007713A3"/>
    <w:rsid w:val="007737F7"/>
    <w:rsid w:val="0078061D"/>
    <w:rsid w:val="007824C4"/>
    <w:rsid w:val="007839CA"/>
    <w:rsid w:val="00787FA3"/>
    <w:rsid w:val="007950A4"/>
    <w:rsid w:val="007A08CE"/>
    <w:rsid w:val="007A7065"/>
    <w:rsid w:val="007B2491"/>
    <w:rsid w:val="007C40AA"/>
    <w:rsid w:val="007E41C9"/>
    <w:rsid w:val="00802B10"/>
    <w:rsid w:val="00814BDE"/>
    <w:rsid w:val="00814C8C"/>
    <w:rsid w:val="00825822"/>
    <w:rsid w:val="00837670"/>
    <w:rsid w:val="00846F6D"/>
    <w:rsid w:val="0085525B"/>
    <w:rsid w:val="00856B17"/>
    <w:rsid w:val="00861A23"/>
    <w:rsid w:val="00862BD6"/>
    <w:rsid w:val="00876404"/>
    <w:rsid w:val="00886E9A"/>
    <w:rsid w:val="00892110"/>
    <w:rsid w:val="00892E1A"/>
    <w:rsid w:val="008939B7"/>
    <w:rsid w:val="008961BD"/>
    <w:rsid w:val="008964AB"/>
    <w:rsid w:val="008A02E7"/>
    <w:rsid w:val="008A2D80"/>
    <w:rsid w:val="008A47EE"/>
    <w:rsid w:val="008A4DB5"/>
    <w:rsid w:val="008A7F77"/>
    <w:rsid w:val="008B5623"/>
    <w:rsid w:val="008B7C3F"/>
    <w:rsid w:val="008C283C"/>
    <w:rsid w:val="008D15E8"/>
    <w:rsid w:val="008D1E55"/>
    <w:rsid w:val="008D275C"/>
    <w:rsid w:val="008E3A77"/>
    <w:rsid w:val="008E4603"/>
    <w:rsid w:val="008E73A9"/>
    <w:rsid w:val="008F1D83"/>
    <w:rsid w:val="008F4ADF"/>
    <w:rsid w:val="008F6BF5"/>
    <w:rsid w:val="009018A5"/>
    <w:rsid w:val="00901B1B"/>
    <w:rsid w:val="00903ACC"/>
    <w:rsid w:val="00904835"/>
    <w:rsid w:val="00907C04"/>
    <w:rsid w:val="00913726"/>
    <w:rsid w:val="009138F9"/>
    <w:rsid w:val="00920249"/>
    <w:rsid w:val="00925F00"/>
    <w:rsid w:val="00937524"/>
    <w:rsid w:val="00944CE6"/>
    <w:rsid w:val="0095279E"/>
    <w:rsid w:val="009538DB"/>
    <w:rsid w:val="00961563"/>
    <w:rsid w:val="009662AF"/>
    <w:rsid w:val="00974573"/>
    <w:rsid w:val="009771C5"/>
    <w:rsid w:val="00980925"/>
    <w:rsid w:val="00983223"/>
    <w:rsid w:val="00991020"/>
    <w:rsid w:val="009A2C2A"/>
    <w:rsid w:val="009A2FFB"/>
    <w:rsid w:val="009B0DE9"/>
    <w:rsid w:val="009B632B"/>
    <w:rsid w:val="009B6DF0"/>
    <w:rsid w:val="009C0FAF"/>
    <w:rsid w:val="009C71B9"/>
    <w:rsid w:val="009C7418"/>
    <w:rsid w:val="009D68F8"/>
    <w:rsid w:val="009F0C6D"/>
    <w:rsid w:val="009F4784"/>
    <w:rsid w:val="009F6FDA"/>
    <w:rsid w:val="00A05448"/>
    <w:rsid w:val="00A1023B"/>
    <w:rsid w:val="00A1684C"/>
    <w:rsid w:val="00A24E9B"/>
    <w:rsid w:val="00A44E13"/>
    <w:rsid w:val="00A54D4C"/>
    <w:rsid w:val="00A55361"/>
    <w:rsid w:val="00A67D71"/>
    <w:rsid w:val="00A75A8D"/>
    <w:rsid w:val="00A75AA7"/>
    <w:rsid w:val="00A75E25"/>
    <w:rsid w:val="00A76216"/>
    <w:rsid w:val="00A77364"/>
    <w:rsid w:val="00A77E38"/>
    <w:rsid w:val="00A813DB"/>
    <w:rsid w:val="00AA249E"/>
    <w:rsid w:val="00AA4E21"/>
    <w:rsid w:val="00AB0AB9"/>
    <w:rsid w:val="00AB24D6"/>
    <w:rsid w:val="00AC20A7"/>
    <w:rsid w:val="00AC25A2"/>
    <w:rsid w:val="00AC3BCD"/>
    <w:rsid w:val="00AC60B3"/>
    <w:rsid w:val="00AD073F"/>
    <w:rsid w:val="00AD2089"/>
    <w:rsid w:val="00AD61A2"/>
    <w:rsid w:val="00AE0789"/>
    <w:rsid w:val="00AE3731"/>
    <w:rsid w:val="00AE4D0A"/>
    <w:rsid w:val="00AF0A7B"/>
    <w:rsid w:val="00AF3AD0"/>
    <w:rsid w:val="00B00FB2"/>
    <w:rsid w:val="00B03F0D"/>
    <w:rsid w:val="00B0665B"/>
    <w:rsid w:val="00B17105"/>
    <w:rsid w:val="00B21521"/>
    <w:rsid w:val="00B21AC9"/>
    <w:rsid w:val="00B25762"/>
    <w:rsid w:val="00B31DBA"/>
    <w:rsid w:val="00B36B3B"/>
    <w:rsid w:val="00B42BE9"/>
    <w:rsid w:val="00B4353E"/>
    <w:rsid w:val="00B506C9"/>
    <w:rsid w:val="00B57883"/>
    <w:rsid w:val="00B57986"/>
    <w:rsid w:val="00B64F4C"/>
    <w:rsid w:val="00B93623"/>
    <w:rsid w:val="00B948EF"/>
    <w:rsid w:val="00B96B20"/>
    <w:rsid w:val="00B9708E"/>
    <w:rsid w:val="00BA0328"/>
    <w:rsid w:val="00BA0C3C"/>
    <w:rsid w:val="00BA405B"/>
    <w:rsid w:val="00BB1EBC"/>
    <w:rsid w:val="00BB25B3"/>
    <w:rsid w:val="00BB48AC"/>
    <w:rsid w:val="00BB4A3A"/>
    <w:rsid w:val="00BB5E8B"/>
    <w:rsid w:val="00BC297F"/>
    <w:rsid w:val="00BC2CB0"/>
    <w:rsid w:val="00BD2070"/>
    <w:rsid w:val="00BD57BB"/>
    <w:rsid w:val="00BE1A27"/>
    <w:rsid w:val="00BE4E35"/>
    <w:rsid w:val="00BE650A"/>
    <w:rsid w:val="00BF4F82"/>
    <w:rsid w:val="00C00B28"/>
    <w:rsid w:val="00C00E97"/>
    <w:rsid w:val="00C014C7"/>
    <w:rsid w:val="00C06330"/>
    <w:rsid w:val="00C06F7D"/>
    <w:rsid w:val="00C13669"/>
    <w:rsid w:val="00C13AAA"/>
    <w:rsid w:val="00C213B3"/>
    <w:rsid w:val="00C2347C"/>
    <w:rsid w:val="00C27108"/>
    <w:rsid w:val="00C325E3"/>
    <w:rsid w:val="00C425F7"/>
    <w:rsid w:val="00C45E5B"/>
    <w:rsid w:val="00C47788"/>
    <w:rsid w:val="00C51F8C"/>
    <w:rsid w:val="00C76717"/>
    <w:rsid w:val="00C8016C"/>
    <w:rsid w:val="00C812BD"/>
    <w:rsid w:val="00C8546B"/>
    <w:rsid w:val="00C854FD"/>
    <w:rsid w:val="00C901CB"/>
    <w:rsid w:val="00C90A84"/>
    <w:rsid w:val="00C90D7F"/>
    <w:rsid w:val="00C96A0E"/>
    <w:rsid w:val="00C97C3C"/>
    <w:rsid w:val="00CA1314"/>
    <w:rsid w:val="00CA23B6"/>
    <w:rsid w:val="00CB1A6E"/>
    <w:rsid w:val="00CB2534"/>
    <w:rsid w:val="00CC1D14"/>
    <w:rsid w:val="00CC1E38"/>
    <w:rsid w:val="00CC336B"/>
    <w:rsid w:val="00CC45EF"/>
    <w:rsid w:val="00CC5D9E"/>
    <w:rsid w:val="00CE071A"/>
    <w:rsid w:val="00CE6DD6"/>
    <w:rsid w:val="00CF0EBF"/>
    <w:rsid w:val="00CF3010"/>
    <w:rsid w:val="00CF5637"/>
    <w:rsid w:val="00CF77E8"/>
    <w:rsid w:val="00D01E29"/>
    <w:rsid w:val="00D0289D"/>
    <w:rsid w:val="00D12312"/>
    <w:rsid w:val="00D13FF2"/>
    <w:rsid w:val="00D15EB3"/>
    <w:rsid w:val="00D20433"/>
    <w:rsid w:val="00D24FAE"/>
    <w:rsid w:val="00D25C86"/>
    <w:rsid w:val="00D25FA1"/>
    <w:rsid w:val="00D27025"/>
    <w:rsid w:val="00D33B27"/>
    <w:rsid w:val="00D365BA"/>
    <w:rsid w:val="00D3793A"/>
    <w:rsid w:val="00D37F71"/>
    <w:rsid w:val="00D43BF9"/>
    <w:rsid w:val="00D45582"/>
    <w:rsid w:val="00D456CF"/>
    <w:rsid w:val="00D51837"/>
    <w:rsid w:val="00D535BA"/>
    <w:rsid w:val="00D711C9"/>
    <w:rsid w:val="00D74110"/>
    <w:rsid w:val="00D76328"/>
    <w:rsid w:val="00D81E3F"/>
    <w:rsid w:val="00D874E8"/>
    <w:rsid w:val="00D94606"/>
    <w:rsid w:val="00D977A8"/>
    <w:rsid w:val="00DA0087"/>
    <w:rsid w:val="00DA0707"/>
    <w:rsid w:val="00DA42A4"/>
    <w:rsid w:val="00DB4E3C"/>
    <w:rsid w:val="00DB7AE5"/>
    <w:rsid w:val="00DC397B"/>
    <w:rsid w:val="00DC5C44"/>
    <w:rsid w:val="00DC7046"/>
    <w:rsid w:val="00DD0FAF"/>
    <w:rsid w:val="00DD479B"/>
    <w:rsid w:val="00DD66D2"/>
    <w:rsid w:val="00DE6499"/>
    <w:rsid w:val="00DF4F1B"/>
    <w:rsid w:val="00E15CA4"/>
    <w:rsid w:val="00E2189D"/>
    <w:rsid w:val="00E2581C"/>
    <w:rsid w:val="00E27D0D"/>
    <w:rsid w:val="00E36828"/>
    <w:rsid w:val="00E4426A"/>
    <w:rsid w:val="00E51360"/>
    <w:rsid w:val="00E672B9"/>
    <w:rsid w:val="00E757C0"/>
    <w:rsid w:val="00E817C7"/>
    <w:rsid w:val="00E82696"/>
    <w:rsid w:val="00E8421E"/>
    <w:rsid w:val="00E86515"/>
    <w:rsid w:val="00E90560"/>
    <w:rsid w:val="00E94A20"/>
    <w:rsid w:val="00EB35DD"/>
    <w:rsid w:val="00EC1B17"/>
    <w:rsid w:val="00EC5AD0"/>
    <w:rsid w:val="00EC7B65"/>
    <w:rsid w:val="00ED6BB3"/>
    <w:rsid w:val="00EE375D"/>
    <w:rsid w:val="00EE3E14"/>
    <w:rsid w:val="00EE5406"/>
    <w:rsid w:val="00EF0AD5"/>
    <w:rsid w:val="00EF22E3"/>
    <w:rsid w:val="00F00CC3"/>
    <w:rsid w:val="00F03076"/>
    <w:rsid w:val="00F0485A"/>
    <w:rsid w:val="00F075A0"/>
    <w:rsid w:val="00F15A3B"/>
    <w:rsid w:val="00F27616"/>
    <w:rsid w:val="00F3073B"/>
    <w:rsid w:val="00F334CA"/>
    <w:rsid w:val="00F340A4"/>
    <w:rsid w:val="00F40EAE"/>
    <w:rsid w:val="00F4118E"/>
    <w:rsid w:val="00F5072F"/>
    <w:rsid w:val="00F70E2D"/>
    <w:rsid w:val="00F72C38"/>
    <w:rsid w:val="00F854A9"/>
    <w:rsid w:val="00F96F10"/>
    <w:rsid w:val="00FA047E"/>
    <w:rsid w:val="00FA1159"/>
    <w:rsid w:val="00FA2BF4"/>
    <w:rsid w:val="00FA7C75"/>
    <w:rsid w:val="00FD0D6D"/>
    <w:rsid w:val="00FE03FA"/>
    <w:rsid w:val="00FE4426"/>
    <w:rsid w:val="00FF4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A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0C8"/>
    <w:rPr>
      <w:sz w:val="18"/>
      <w:szCs w:val="18"/>
    </w:rPr>
  </w:style>
  <w:style w:type="paragraph" w:styleId="a4">
    <w:name w:val="footer"/>
    <w:basedOn w:val="a"/>
    <w:link w:val="Char0"/>
    <w:uiPriority w:val="99"/>
    <w:unhideWhenUsed/>
    <w:rsid w:val="005810C8"/>
    <w:pPr>
      <w:tabs>
        <w:tab w:val="center" w:pos="4153"/>
        <w:tab w:val="right" w:pos="8306"/>
      </w:tabs>
      <w:snapToGrid w:val="0"/>
      <w:jc w:val="left"/>
    </w:pPr>
    <w:rPr>
      <w:sz w:val="18"/>
      <w:szCs w:val="18"/>
    </w:rPr>
  </w:style>
  <w:style w:type="character" w:customStyle="1" w:styleId="Char0">
    <w:name w:val="页脚 Char"/>
    <w:basedOn w:val="a0"/>
    <w:link w:val="a4"/>
    <w:uiPriority w:val="99"/>
    <w:rsid w:val="005810C8"/>
    <w:rPr>
      <w:sz w:val="18"/>
      <w:szCs w:val="18"/>
    </w:rPr>
  </w:style>
  <w:style w:type="table" w:styleId="a5">
    <w:name w:val="Table Grid"/>
    <w:basedOn w:val="a1"/>
    <w:uiPriority w:val="59"/>
    <w:rsid w:val="0058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6C5968"/>
    <w:rPr>
      <w:rFonts w:asciiTheme="majorHAnsi" w:eastAsia="黑体" w:hAnsiTheme="majorHAnsi" w:cstheme="majorBidi"/>
      <w:sz w:val="20"/>
      <w:szCs w:val="20"/>
    </w:rPr>
  </w:style>
  <w:style w:type="paragraph" w:styleId="a7">
    <w:name w:val="List Paragraph"/>
    <w:basedOn w:val="a"/>
    <w:uiPriority w:val="34"/>
    <w:qFormat/>
    <w:rsid w:val="00AD61A2"/>
    <w:pPr>
      <w:ind w:firstLineChars="200" w:firstLine="420"/>
    </w:pPr>
  </w:style>
  <w:style w:type="table" w:customStyle="1" w:styleId="4-11">
    <w:name w:val="网格表 4 - 着色 11"/>
    <w:basedOn w:val="a1"/>
    <w:uiPriority w:val="49"/>
    <w:rsid w:val="005C24F6"/>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w-p">
    <w:name w:val="w-p"/>
    <w:basedOn w:val="a"/>
    <w:rsid w:val="00B25762"/>
    <w:pPr>
      <w:widowControl/>
      <w:spacing w:before="100" w:beforeAutospacing="1" w:after="100" w:afterAutospacing="1"/>
      <w:jc w:val="left"/>
    </w:pPr>
    <w:rPr>
      <w:rFonts w:ascii="宋体" w:eastAsia="宋体" w:hAnsi="宋体" w:cs="宋体"/>
      <w:kern w:val="0"/>
      <w:sz w:val="24"/>
      <w:szCs w:val="24"/>
    </w:rPr>
  </w:style>
  <w:style w:type="paragraph" w:styleId="a8">
    <w:name w:val="Normal (Web)"/>
    <w:basedOn w:val="a"/>
    <w:uiPriority w:val="99"/>
    <w:semiHidden/>
    <w:unhideWhenUsed/>
    <w:rsid w:val="005421F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C7515"/>
    <w:rPr>
      <w:b/>
      <w:bCs/>
    </w:rPr>
  </w:style>
  <w:style w:type="paragraph" w:styleId="aa">
    <w:name w:val="Balloon Text"/>
    <w:basedOn w:val="a"/>
    <w:link w:val="Char1"/>
    <w:uiPriority w:val="99"/>
    <w:semiHidden/>
    <w:unhideWhenUsed/>
    <w:rsid w:val="00980925"/>
    <w:rPr>
      <w:sz w:val="18"/>
      <w:szCs w:val="18"/>
    </w:rPr>
  </w:style>
  <w:style w:type="character" w:customStyle="1" w:styleId="Char1">
    <w:name w:val="批注框文本 Char"/>
    <w:basedOn w:val="a0"/>
    <w:link w:val="aa"/>
    <w:uiPriority w:val="99"/>
    <w:semiHidden/>
    <w:rsid w:val="00980925"/>
    <w:rPr>
      <w:sz w:val="18"/>
      <w:szCs w:val="18"/>
    </w:rPr>
  </w:style>
  <w:style w:type="character" w:styleId="ab">
    <w:name w:val="Emphasis"/>
    <w:basedOn w:val="a0"/>
    <w:uiPriority w:val="20"/>
    <w:qFormat/>
    <w:rsid w:val="00105F1D"/>
    <w:rPr>
      <w:i/>
      <w:iCs/>
    </w:rPr>
  </w:style>
  <w:style w:type="paragraph" w:styleId="ac">
    <w:name w:val="Revision"/>
    <w:hidden/>
    <w:uiPriority w:val="99"/>
    <w:semiHidden/>
    <w:rsid w:val="009F6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0C8"/>
    <w:rPr>
      <w:sz w:val="18"/>
      <w:szCs w:val="18"/>
    </w:rPr>
  </w:style>
  <w:style w:type="paragraph" w:styleId="a4">
    <w:name w:val="footer"/>
    <w:basedOn w:val="a"/>
    <w:link w:val="Char0"/>
    <w:uiPriority w:val="99"/>
    <w:unhideWhenUsed/>
    <w:rsid w:val="005810C8"/>
    <w:pPr>
      <w:tabs>
        <w:tab w:val="center" w:pos="4153"/>
        <w:tab w:val="right" w:pos="8306"/>
      </w:tabs>
      <w:snapToGrid w:val="0"/>
      <w:jc w:val="left"/>
    </w:pPr>
    <w:rPr>
      <w:sz w:val="18"/>
      <w:szCs w:val="18"/>
    </w:rPr>
  </w:style>
  <w:style w:type="character" w:customStyle="1" w:styleId="Char0">
    <w:name w:val="页脚 Char"/>
    <w:basedOn w:val="a0"/>
    <w:link w:val="a4"/>
    <w:uiPriority w:val="99"/>
    <w:rsid w:val="005810C8"/>
    <w:rPr>
      <w:sz w:val="18"/>
      <w:szCs w:val="18"/>
    </w:rPr>
  </w:style>
  <w:style w:type="table" w:styleId="a5">
    <w:name w:val="Table Grid"/>
    <w:basedOn w:val="a1"/>
    <w:uiPriority w:val="59"/>
    <w:rsid w:val="0058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6C5968"/>
    <w:rPr>
      <w:rFonts w:asciiTheme="majorHAnsi" w:eastAsia="黑体" w:hAnsiTheme="majorHAnsi" w:cstheme="majorBidi"/>
      <w:sz w:val="20"/>
      <w:szCs w:val="20"/>
    </w:rPr>
  </w:style>
  <w:style w:type="paragraph" w:styleId="a7">
    <w:name w:val="List Paragraph"/>
    <w:basedOn w:val="a"/>
    <w:uiPriority w:val="34"/>
    <w:qFormat/>
    <w:rsid w:val="00AD61A2"/>
    <w:pPr>
      <w:ind w:firstLineChars="200" w:firstLine="420"/>
    </w:pPr>
  </w:style>
  <w:style w:type="table" w:customStyle="1" w:styleId="4-11">
    <w:name w:val="网格表 4 - 着色 11"/>
    <w:basedOn w:val="a1"/>
    <w:uiPriority w:val="49"/>
    <w:rsid w:val="005C24F6"/>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w-p">
    <w:name w:val="w-p"/>
    <w:basedOn w:val="a"/>
    <w:rsid w:val="00B25762"/>
    <w:pPr>
      <w:widowControl/>
      <w:spacing w:before="100" w:beforeAutospacing="1" w:after="100" w:afterAutospacing="1"/>
      <w:jc w:val="left"/>
    </w:pPr>
    <w:rPr>
      <w:rFonts w:ascii="宋体" w:eastAsia="宋体" w:hAnsi="宋体" w:cs="宋体"/>
      <w:kern w:val="0"/>
      <w:sz w:val="24"/>
      <w:szCs w:val="24"/>
    </w:rPr>
  </w:style>
  <w:style w:type="paragraph" w:styleId="a8">
    <w:name w:val="Normal (Web)"/>
    <w:basedOn w:val="a"/>
    <w:uiPriority w:val="99"/>
    <w:semiHidden/>
    <w:unhideWhenUsed/>
    <w:rsid w:val="005421F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C7515"/>
    <w:rPr>
      <w:b/>
      <w:bCs/>
    </w:rPr>
  </w:style>
  <w:style w:type="paragraph" w:styleId="aa">
    <w:name w:val="Balloon Text"/>
    <w:basedOn w:val="a"/>
    <w:link w:val="Char1"/>
    <w:uiPriority w:val="99"/>
    <w:semiHidden/>
    <w:unhideWhenUsed/>
    <w:rsid w:val="00980925"/>
    <w:rPr>
      <w:sz w:val="18"/>
      <w:szCs w:val="18"/>
    </w:rPr>
  </w:style>
  <w:style w:type="character" w:customStyle="1" w:styleId="Char1">
    <w:name w:val="批注框文本 Char"/>
    <w:basedOn w:val="a0"/>
    <w:link w:val="aa"/>
    <w:uiPriority w:val="99"/>
    <w:semiHidden/>
    <w:rsid w:val="00980925"/>
    <w:rPr>
      <w:sz w:val="18"/>
      <w:szCs w:val="18"/>
    </w:rPr>
  </w:style>
  <w:style w:type="character" w:styleId="ab">
    <w:name w:val="Emphasis"/>
    <w:basedOn w:val="a0"/>
    <w:uiPriority w:val="20"/>
    <w:qFormat/>
    <w:rsid w:val="00105F1D"/>
    <w:rPr>
      <w:i/>
      <w:iCs/>
    </w:rPr>
  </w:style>
  <w:style w:type="paragraph" w:styleId="ac">
    <w:name w:val="Revision"/>
    <w:hidden/>
    <w:uiPriority w:val="99"/>
    <w:semiHidden/>
    <w:rsid w:val="009F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0836">
      <w:bodyDiv w:val="1"/>
      <w:marLeft w:val="0"/>
      <w:marRight w:val="0"/>
      <w:marTop w:val="0"/>
      <w:marBottom w:val="0"/>
      <w:divBdr>
        <w:top w:val="none" w:sz="0" w:space="0" w:color="auto"/>
        <w:left w:val="none" w:sz="0" w:space="0" w:color="auto"/>
        <w:bottom w:val="none" w:sz="0" w:space="0" w:color="auto"/>
        <w:right w:val="none" w:sz="0" w:space="0" w:color="auto"/>
      </w:divBdr>
    </w:div>
    <w:div w:id="450321382">
      <w:bodyDiv w:val="1"/>
      <w:marLeft w:val="0"/>
      <w:marRight w:val="0"/>
      <w:marTop w:val="0"/>
      <w:marBottom w:val="0"/>
      <w:divBdr>
        <w:top w:val="none" w:sz="0" w:space="0" w:color="auto"/>
        <w:left w:val="none" w:sz="0" w:space="0" w:color="auto"/>
        <w:bottom w:val="none" w:sz="0" w:space="0" w:color="auto"/>
        <w:right w:val="none" w:sz="0" w:space="0" w:color="auto"/>
      </w:divBdr>
    </w:div>
    <w:div w:id="455877268">
      <w:bodyDiv w:val="1"/>
      <w:marLeft w:val="0"/>
      <w:marRight w:val="0"/>
      <w:marTop w:val="0"/>
      <w:marBottom w:val="0"/>
      <w:divBdr>
        <w:top w:val="none" w:sz="0" w:space="0" w:color="auto"/>
        <w:left w:val="none" w:sz="0" w:space="0" w:color="auto"/>
        <w:bottom w:val="none" w:sz="0" w:space="0" w:color="auto"/>
        <w:right w:val="none" w:sz="0" w:space="0" w:color="auto"/>
      </w:divBdr>
    </w:div>
    <w:div w:id="547885065">
      <w:bodyDiv w:val="1"/>
      <w:marLeft w:val="0"/>
      <w:marRight w:val="0"/>
      <w:marTop w:val="0"/>
      <w:marBottom w:val="0"/>
      <w:divBdr>
        <w:top w:val="none" w:sz="0" w:space="0" w:color="auto"/>
        <w:left w:val="none" w:sz="0" w:space="0" w:color="auto"/>
        <w:bottom w:val="none" w:sz="0" w:space="0" w:color="auto"/>
        <w:right w:val="none" w:sz="0" w:space="0" w:color="auto"/>
      </w:divBdr>
    </w:div>
    <w:div w:id="753473074">
      <w:bodyDiv w:val="1"/>
      <w:marLeft w:val="0"/>
      <w:marRight w:val="0"/>
      <w:marTop w:val="0"/>
      <w:marBottom w:val="0"/>
      <w:divBdr>
        <w:top w:val="none" w:sz="0" w:space="0" w:color="auto"/>
        <w:left w:val="none" w:sz="0" w:space="0" w:color="auto"/>
        <w:bottom w:val="none" w:sz="0" w:space="0" w:color="auto"/>
        <w:right w:val="none" w:sz="0" w:space="0" w:color="auto"/>
      </w:divBdr>
    </w:div>
    <w:div w:id="1035807463">
      <w:bodyDiv w:val="1"/>
      <w:marLeft w:val="0"/>
      <w:marRight w:val="0"/>
      <w:marTop w:val="0"/>
      <w:marBottom w:val="0"/>
      <w:divBdr>
        <w:top w:val="none" w:sz="0" w:space="0" w:color="auto"/>
        <w:left w:val="none" w:sz="0" w:space="0" w:color="auto"/>
        <w:bottom w:val="none" w:sz="0" w:space="0" w:color="auto"/>
        <w:right w:val="none" w:sz="0" w:space="0" w:color="auto"/>
      </w:divBdr>
    </w:div>
    <w:div w:id="1071197298">
      <w:bodyDiv w:val="1"/>
      <w:marLeft w:val="0"/>
      <w:marRight w:val="0"/>
      <w:marTop w:val="0"/>
      <w:marBottom w:val="0"/>
      <w:divBdr>
        <w:top w:val="none" w:sz="0" w:space="0" w:color="auto"/>
        <w:left w:val="none" w:sz="0" w:space="0" w:color="auto"/>
        <w:bottom w:val="none" w:sz="0" w:space="0" w:color="auto"/>
        <w:right w:val="none" w:sz="0" w:space="0" w:color="auto"/>
      </w:divBdr>
    </w:div>
    <w:div w:id="1816756191">
      <w:bodyDiv w:val="1"/>
      <w:marLeft w:val="0"/>
      <w:marRight w:val="0"/>
      <w:marTop w:val="0"/>
      <w:marBottom w:val="0"/>
      <w:divBdr>
        <w:top w:val="none" w:sz="0" w:space="0" w:color="auto"/>
        <w:left w:val="none" w:sz="0" w:space="0" w:color="auto"/>
        <w:bottom w:val="none" w:sz="0" w:space="0" w:color="auto"/>
        <w:right w:val="none" w:sz="0" w:space="0" w:color="auto"/>
      </w:divBdr>
    </w:div>
    <w:div w:id="1944530800">
      <w:bodyDiv w:val="1"/>
      <w:marLeft w:val="0"/>
      <w:marRight w:val="0"/>
      <w:marTop w:val="0"/>
      <w:marBottom w:val="0"/>
      <w:divBdr>
        <w:top w:val="none" w:sz="0" w:space="0" w:color="auto"/>
        <w:left w:val="none" w:sz="0" w:space="0" w:color="auto"/>
        <w:bottom w:val="none" w:sz="0" w:space="0" w:color="auto"/>
        <w:right w:val="none" w:sz="0" w:space="0" w:color="auto"/>
      </w:divBdr>
    </w:div>
    <w:div w:id="2003043321">
      <w:bodyDiv w:val="1"/>
      <w:marLeft w:val="0"/>
      <w:marRight w:val="0"/>
      <w:marTop w:val="0"/>
      <w:marBottom w:val="0"/>
      <w:divBdr>
        <w:top w:val="none" w:sz="0" w:space="0" w:color="auto"/>
        <w:left w:val="none" w:sz="0" w:space="0" w:color="auto"/>
        <w:bottom w:val="none" w:sz="0" w:space="0" w:color="auto"/>
        <w:right w:val="none" w:sz="0" w:space="0" w:color="auto"/>
      </w:divBdr>
    </w:div>
    <w:div w:id="2065327824">
      <w:bodyDiv w:val="1"/>
      <w:marLeft w:val="0"/>
      <w:marRight w:val="0"/>
      <w:marTop w:val="0"/>
      <w:marBottom w:val="0"/>
      <w:divBdr>
        <w:top w:val="none" w:sz="0" w:space="0" w:color="auto"/>
        <w:left w:val="none" w:sz="0" w:space="0" w:color="auto"/>
        <w:bottom w:val="none" w:sz="0" w:space="0" w:color="auto"/>
        <w:right w:val="none" w:sz="0" w:space="0" w:color="auto"/>
      </w:divBdr>
    </w:div>
    <w:div w:id="210037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CD98-2E3E-445B-A2EC-3B5D6B22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 琳</dc:creator>
  <cp:lastModifiedBy>WQ</cp:lastModifiedBy>
  <cp:revision>20</cp:revision>
  <cp:lastPrinted>2021-09-09T06:46:00Z</cp:lastPrinted>
  <dcterms:created xsi:type="dcterms:W3CDTF">2022-02-16T02:45:00Z</dcterms:created>
  <dcterms:modified xsi:type="dcterms:W3CDTF">2022-03-01T03:12:00Z</dcterms:modified>
</cp:coreProperties>
</file>